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EDAF7">
      <w:pPr>
        <w:spacing w:line="540" w:lineRule="exact"/>
        <w:jc w:val="center"/>
        <w:rPr>
          <w:rFonts w:ascii="仿宋" w:hAnsi="仿宋" w:eastAsia="仿宋"/>
          <w:b/>
          <w:sz w:val="48"/>
          <w:szCs w:val="32"/>
        </w:rPr>
      </w:pPr>
    </w:p>
    <w:p w14:paraId="5A119DFF">
      <w:pPr>
        <w:spacing w:line="540" w:lineRule="exact"/>
        <w:jc w:val="center"/>
        <w:rPr>
          <w:rFonts w:hint="eastAsia" w:ascii="黑体" w:hAnsi="黑体" w:eastAsia="黑体"/>
          <w:b/>
          <w:sz w:val="44"/>
          <w:szCs w:val="32"/>
        </w:rPr>
      </w:pPr>
    </w:p>
    <w:p w14:paraId="7042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ascii="黑体" w:hAnsi="黑体" w:eastAsia="黑体"/>
          <w:b/>
          <w:sz w:val="44"/>
          <w:szCs w:val="32"/>
        </w:rPr>
      </w:pPr>
      <w:r>
        <w:rPr>
          <w:rFonts w:hint="eastAsia" w:ascii="黑体" w:hAnsi="黑体" w:eastAsia="黑体"/>
          <w:b/>
          <w:sz w:val="44"/>
          <w:szCs w:val="32"/>
        </w:rPr>
        <w:t>2026年西南局前移现场网络专线</w:t>
      </w:r>
    </w:p>
    <w:p w14:paraId="2AFAE6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ascii="黑体" w:hAnsi="黑体" w:eastAsia="黑体"/>
          <w:b/>
          <w:sz w:val="44"/>
          <w:szCs w:val="32"/>
        </w:rPr>
      </w:pPr>
      <w:r>
        <w:rPr>
          <w:rFonts w:hint="eastAsia" w:ascii="黑体" w:hAnsi="黑体" w:eastAsia="黑体"/>
          <w:b/>
          <w:sz w:val="44"/>
          <w:szCs w:val="32"/>
        </w:rPr>
        <w:t>租赁项目</w:t>
      </w:r>
    </w:p>
    <w:p w14:paraId="2A1058CA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37FC4C1D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5B850024">
      <w:pPr>
        <w:spacing w:line="540" w:lineRule="exact"/>
        <w:rPr>
          <w:rFonts w:ascii="仿宋" w:hAnsi="仿宋" w:eastAsia="仿宋"/>
          <w:b/>
          <w:sz w:val="32"/>
          <w:szCs w:val="32"/>
        </w:rPr>
      </w:pPr>
    </w:p>
    <w:p w14:paraId="2A05DC79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13316D43">
      <w:pPr>
        <w:spacing w:line="540" w:lineRule="exact"/>
        <w:rPr>
          <w:rFonts w:ascii="仿宋" w:hAnsi="仿宋" w:eastAsia="仿宋"/>
          <w:b/>
          <w:sz w:val="32"/>
          <w:szCs w:val="32"/>
        </w:rPr>
      </w:pPr>
    </w:p>
    <w:p w14:paraId="663BD1AA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228FF950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0DB3C61C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2C78720E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28F3C71C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0E212A0D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1349C658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24D921B3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</w:p>
    <w:p w14:paraId="6D0A01DF">
      <w:pPr>
        <w:spacing w:line="540" w:lineRule="exact"/>
        <w:ind w:left="840" w:firstLine="42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需求方：中石化石油物探技术研究院有限公司</w:t>
      </w:r>
    </w:p>
    <w:p w14:paraId="154F543C">
      <w:pPr>
        <w:spacing w:line="540" w:lineRule="exact"/>
        <w:ind w:firstLine="1285" w:firstLineChars="4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报价方：</w:t>
      </w:r>
    </w:p>
    <w:p w14:paraId="6191DCCB">
      <w:pPr>
        <w:spacing w:line="540" w:lineRule="exact"/>
        <w:ind w:firstLine="1285" w:firstLineChars="4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联系地址：</w:t>
      </w:r>
    </w:p>
    <w:p w14:paraId="57650494">
      <w:pPr>
        <w:spacing w:line="540" w:lineRule="exact"/>
        <w:ind w:firstLine="1285" w:firstLineChars="4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</w:t>
      </w:r>
    </w:p>
    <w:p w14:paraId="34A0EC2D">
      <w:pPr>
        <w:spacing w:line="540" w:lineRule="exact"/>
        <w:ind w:firstLine="1285" w:firstLineChars="4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邮箱地址：</w:t>
      </w:r>
    </w:p>
    <w:p w14:paraId="79D4ECA6">
      <w:pPr>
        <w:spacing w:line="540" w:lineRule="exact"/>
        <w:rPr>
          <w:rFonts w:ascii="仿宋" w:hAnsi="仿宋" w:eastAsia="仿宋"/>
          <w:b/>
          <w:sz w:val="32"/>
          <w:szCs w:val="32"/>
        </w:rPr>
      </w:pPr>
    </w:p>
    <w:p w14:paraId="2385BB0A">
      <w:pPr>
        <w:spacing w:line="54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ascii="仿宋" w:hAnsi="仿宋" w:eastAsia="仿宋"/>
          <w:b/>
          <w:sz w:val="32"/>
          <w:szCs w:val="32"/>
        </w:rPr>
        <w:t>6</w:t>
      </w:r>
      <w:r>
        <w:rPr>
          <w:rFonts w:hint="eastAsia" w:ascii="仿宋" w:hAnsi="仿宋" w:eastAsia="仿宋"/>
          <w:b/>
          <w:sz w:val="32"/>
          <w:szCs w:val="32"/>
        </w:rPr>
        <w:t>年</w:t>
      </w:r>
      <w:r>
        <w:rPr>
          <w:rFonts w:ascii="仿宋" w:hAnsi="仿宋" w:eastAsia="仿宋"/>
          <w:b/>
          <w:sz w:val="32"/>
          <w:szCs w:val="32"/>
        </w:rPr>
        <w:t>07</w:t>
      </w:r>
      <w:r>
        <w:rPr>
          <w:rFonts w:hint="eastAsia" w:ascii="仿宋" w:hAnsi="仿宋" w:eastAsia="仿宋"/>
          <w:b/>
          <w:sz w:val="32"/>
          <w:szCs w:val="32"/>
        </w:rPr>
        <w:t>月</w:t>
      </w:r>
      <w:r>
        <w:rPr>
          <w:rFonts w:ascii="仿宋" w:hAnsi="仿宋" w:eastAsia="仿宋"/>
          <w:b/>
          <w:sz w:val="32"/>
          <w:szCs w:val="32"/>
        </w:rPr>
        <w:br w:type="page"/>
      </w:r>
    </w:p>
    <w:p w14:paraId="38B9C502">
      <w:pPr>
        <w:spacing w:line="540" w:lineRule="exact"/>
        <w:jc w:val="center"/>
        <w:rPr>
          <w:rFonts w:ascii="仿宋" w:hAnsi="仿宋" w:eastAsia="仿宋"/>
          <w:b/>
          <w:sz w:val="32"/>
          <w:szCs w:val="32"/>
        </w:rPr>
      </w:pPr>
    </w:p>
    <w:p w14:paraId="6D3D12D9">
      <w:pPr>
        <w:spacing w:line="54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 xml:space="preserve">目 </w:t>
      </w:r>
      <w:r>
        <w:rPr>
          <w:rFonts w:ascii="黑体" w:hAnsi="黑体" w:eastAsia="黑体"/>
          <w:b/>
          <w:sz w:val="32"/>
          <w:szCs w:val="32"/>
        </w:rPr>
        <w:t xml:space="preserve"> </w:t>
      </w:r>
      <w:r>
        <w:rPr>
          <w:rFonts w:hint="eastAsia" w:ascii="黑体" w:hAnsi="黑体" w:eastAsia="黑体"/>
          <w:b/>
          <w:sz w:val="32"/>
          <w:szCs w:val="32"/>
        </w:rPr>
        <w:t>录</w:t>
      </w:r>
    </w:p>
    <w:p w14:paraId="4BA7EDA6">
      <w:pPr>
        <w:spacing w:line="540" w:lineRule="exact"/>
        <w:jc w:val="center"/>
        <w:rPr>
          <w:rFonts w:ascii="仿宋" w:hAnsi="仿宋" w:eastAsia="仿宋"/>
          <w:b/>
          <w:sz w:val="32"/>
          <w:szCs w:val="32"/>
        </w:rPr>
      </w:pPr>
    </w:p>
    <w:p w14:paraId="0E2FDFCD">
      <w:pPr>
        <w:pStyle w:val="17"/>
        <w:numPr>
          <w:ilvl w:val="0"/>
          <w:numId w:val="1"/>
        </w:numPr>
        <w:spacing w:line="540" w:lineRule="exact"/>
        <w:ind w:firstLineChars="0"/>
        <w:rPr>
          <w:rFonts w:ascii="仿宋" w:hAnsi="仿宋" w:eastAsia="仿宋"/>
          <w:b/>
          <w:sz w:val="32"/>
          <w:szCs w:val="32"/>
        </w:rPr>
      </w:pPr>
      <w:bookmarkStart w:id="2" w:name="_GoBack"/>
      <w:bookmarkEnd w:id="2"/>
      <w:r>
        <w:rPr>
          <w:rFonts w:hint="eastAsia" w:ascii="仿宋" w:hAnsi="仿宋" w:eastAsia="仿宋"/>
          <w:b/>
          <w:sz w:val="32"/>
          <w:szCs w:val="32"/>
        </w:rPr>
        <w:t>公司简介（含公司业绩）</w:t>
      </w:r>
    </w:p>
    <w:p w14:paraId="1F4B2FF9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二、公司资质文件</w:t>
      </w:r>
    </w:p>
    <w:p w14:paraId="6A5CA926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营业执照、税务登记证、授权书（代理）等</w:t>
      </w:r>
    </w:p>
    <w:p w14:paraId="3748D656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三、服务方案</w:t>
      </w:r>
    </w:p>
    <w:p w14:paraId="6A3A1693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1</w:t>
      </w:r>
      <w:r>
        <w:rPr>
          <w:rFonts w:hint="eastAsia" w:ascii="仿宋" w:hAnsi="仿宋" w:eastAsia="仿宋"/>
          <w:b/>
          <w:sz w:val="32"/>
          <w:szCs w:val="32"/>
        </w:rPr>
        <w:t>、项目概述</w:t>
      </w:r>
    </w:p>
    <w:p w14:paraId="0B75B822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、服务内容</w:t>
      </w:r>
    </w:p>
    <w:p w14:paraId="22B4441C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/>
          <w:b/>
          <w:sz w:val="32"/>
          <w:szCs w:val="32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、实施方案</w:t>
      </w:r>
    </w:p>
    <w:p w14:paraId="74B1F0EA">
      <w:pPr>
        <w:spacing w:line="54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四、商务报价（需分项报价）</w:t>
      </w:r>
    </w:p>
    <w:p w14:paraId="23542DAE">
      <w:pPr>
        <w:widowControl/>
        <w:jc w:val="left"/>
        <w:rPr>
          <w:rFonts w:ascii="仿宋" w:hAnsi="仿宋" w:eastAsia="仿宋"/>
          <w:b/>
          <w:sz w:val="32"/>
          <w:szCs w:val="32"/>
        </w:rPr>
      </w:pPr>
    </w:p>
    <w:p w14:paraId="7DF4AA2A">
      <w:pPr>
        <w:rPr>
          <w:rFonts w:ascii="仿宋" w:hAnsi="仿宋" w:eastAsia="仿宋"/>
          <w:b/>
          <w:sz w:val="40"/>
          <w:szCs w:val="36"/>
        </w:rPr>
      </w:pPr>
      <w:r>
        <w:rPr>
          <w:rFonts w:hint="eastAsia" w:ascii="仿宋" w:hAnsi="仿宋" w:eastAsia="仿宋"/>
          <w:b/>
          <w:sz w:val="40"/>
          <w:szCs w:val="36"/>
        </w:rPr>
        <w:br w:type="page"/>
      </w:r>
    </w:p>
    <w:p w14:paraId="7258372A">
      <w:pPr>
        <w:spacing w:line="560" w:lineRule="exact"/>
        <w:ind w:firstLine="562" w:firstLineChars="200"/>
        <w:jc w:val="center"/>
        <w:rPr>
          <w:rFonts w:ascii="仿宋_GB2312" w:hAnsi="仿宋" w:eastAsia="仿宋_GB2312"/>
          <w:b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技术要求附件</w:t>
      </w:r>
    </w:p>
    <w:p w14:paraId="78043B6E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一、业务需求</w:t>
      </w:r>
    </w:p>
    <w:p w14:paraId="573C7EEB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依托《川南大连片地震资料处理解释》项目，践行集团二次创业能源战略，深化与西南局战略合作，保障项目正常稳定运行，经研究决定采用专线方式有效解决中石化内网存在的延时、丢包、卡顿、上传限速等现象，保障项目的业务应用流畅度，缩短业务应用响应时间，提高业务数据的传输效率，拟在成都和南京搭建一条300M的数字链路专线。</w:t>
      </w:r>
    </w:p>
    <w:p w14:paraId="028D0C77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二、建设要求</w:t>
      </w:r>
    </w:p>
    <w:p w14:paraId="41F649C1">
      <w:pPr>
        <w:spacing w:line="560" w:lineRule="exact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本项目运行周期为三年，根据实际使用情况付费，暂停或者停止使用前</w:t>
      </w: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甲方</w:t>
      </w:r>
      <w:r>
        <w:rPr>
          <w:rFonts w:hint="eastAsia" w:ascii="仿宋_GB2312" w:hAnsi="宋体" w:eastAsia="仿宋_GB2312"/>
          <w:sz w:val="28"/>
          <w:szCs w:val="28"/>
        </w:rPr>
        <w:t>提前一个月通知运营商。</w:t>
      </w:r>
    </w:p>
    <w:p w14:paraId="0FEB1EA9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  <w:lang w:val="en-US" w:eastAsia="zh-CN"/>
        </w:rPr>
        <w:t>运营商</w:t>
      </w:r>
      <w:r>
        <w:rPr>
          <w:rFonts w:hint="eastAsia" w:ascii="仿宋_GB2312" w:hAnsi="宋体" w:eastAsia="仿宋_GB2312"/>
          <w:sz w:val="28"/>
          <w:szCs w:val="28"/>
        </w:rPr>
        <w:t>提供建设方案、网络拓扑图、线路路由图。</w:t>
      </w:r>
    </w:p>
    <w:p w14:paraId="32DEDB27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三、能力要求</w:t>
      </w:r>
    </w:p>
    <w:p w14:paraId="71EADC45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本项目所有链路必须采用标准OTN光传送网技术（符合ITU-T G.709、G.872标准），严禁使用MSTP、普通以太网、IPRAN等替代链路，满足专网高安全、低时延、硬隔离、高可靠传输需求。</w:t>
      </w:r>
    </w:p>
    <w:p w14:paraId="2335E763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1.总体技术要求</w:t>
      </w:r>
    </w:p>
    <w:p w14:paraId="77F3159B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bookmarkStart w:id="0" w:name="OLE_LINK9"/>
      <w:bookmarkStart w:id="1" w:name="OLE_LINK10"/>
      <w:r>
        <w:rPr>
          <w:rFonts w:hint="eastAsia" w:ascii="仿宋_GB2312" w:hAnsi="宋体" w:eastAsia="仿宋_GB2312"/>
          <w:sz w:val="28"/>
          <w:szCs w:val="28"/>
        </w:rPr>
        <w:t>（1）</w:t>
      </w:r>
      <w:bookmarkEnd w:id="0"/>
      <w:bookmarkEnd w:id="1"/>
      <w:r>
        <w:rPr>
          <w:rFonts w:hint="eastAsia" w:ascii="仿宋_GB2312" w:hAnsi="宋体" w:eastAsia="仿宋_GB2312"/>
          <w:sz w:val="28"/>
          <w:szCs w:val="28"/>
        </w:rPr>
        <w:t>链路架构：采用OTN光电分层架构，支持OTS/OMS/OCh光层调度、ODU电层交叉调度，实现端到端硬管道传输。</w:t>
      </w:r>
    </w:p>
    <w:p w14:paraId="2FAEA272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（2）传输特性：链路为物理独享、硬隔离TDM管道，无共享带宽、无抢占，保障业务传输稳定。</w:t>
      </w:r>
    </w:p>
    <w:p w14:paraId="72C1B0B1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（3）带宽规格：300M OTN专线，带宽恒定，上下行对称。</w:t>
      </w:r>
    </w:p>
    <w:p w14:paraId="34BC4809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（4）传输距离：满足采购人跨点位、跨区域传输需求，支持长距离无中继传输，适配骨干及城域组网场景。</w:t>
      </w:r>
    </w:p>
    <w:p w14:paraId="44DF0632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（5）兼容性：支持GE/10GE/25GE等主流业务接口，可承载数据专网、视频传输、业务系统互联、灾备数据同步等各类业务。</w:t>
      </w:r>
    </w:p>
    <w:p w14:paraId="4073B4CB">
      <w:pPr>
        <w:spacing w:line="560" w:lineRule="exact"/>
        <w:ind w:firstLine="560" w:firstLineChars="200"/>
        <w:rPr>
          <w:rFonts w:ascii="仿宋_GB2312" w:eastAsia="仿宋_GB2312" w:hAnsiTheme="minorEastAsia"/>
          <w:sz w:val="28"/>
          <w:szCs w:val="28"/>
        </w:rPr>
      </w:pPr>
      <w:r>
        <w:rPr>
          <w:rFonts w:hint="eastAsia" w:ascii="仿宋_GB2312" w:eastAsia="仿宋_GB2312" w:hAnsiTheme="minorEastAsia"/>
          <w:sz w:val="28"/>
          <w:szCs w:val="28"/>
        </w:rPr>
        <w:t>（6）带宽适配：专线升级带宽需完全匹配项目业务峰值需求，设计预留20%-30%带宽冗余，满足后期业务扩容、流量增长需求，全程保障带宽独享、无抢占、无限速。</w:t>
      </w:r>
    </w:p>
    <w:p w14:paraId="2DAE2109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 xml:space="preserve">（7）链路稳定：采用双路由、双链路冗余保护架构，规避单点故障； </w:t>
      </w:r>
    </w:p>
    <w:p w14:paraId="562B7023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</w:t>
      </w:r>
      <w:r>
        <w:rPr>
          <w:rFonts w:ascii="仿宋_GB2312" w:eastAsia="仿宋_GB2312" w:hAnsiTheme="minorEastAsia"/>
          <w:sz w:val="28"/>
          <w:szCs w:val="28"/>
          <w:lang w:eastAsia="zh-CN"/>
        </w:rPr>
        <w:t>8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）设备可靠：核心传输设备、接入设备选用运营商合规标配设备，支持热备份、故障自动切换，具备高可用性、高容错性。</w:t>
      </w:r>
    </w:p>
    <w:p w14:paraId="151C8939">
      <w:pPr>
        <w:pStyle w:val="4"/>
        <w:spacing w:after="0" w:line="560" w:lineRule="exact"/>
        <w:ind w:firstLine="560" w:firstLineChars="200"/>
        <w:rPr>
          <w:rFonts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（9）线路地址：A端地址-四川省成都市西南油气田公司； Z端地址-江苏省南京市物探院有限公司。（详细地址另附）</w:t>
      </w:r>
    </w:p>
    <w:p w14:paraId="38E32A11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2.核心性能指标</w:t>
      </w:r>
    </w:p>
    <w:p w14:paraId="6E1399C6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（1）时延：全程端到端平均时延≤15ms，时延抖动≤1ms，满足实时业务传输要求。</w:t>
      </w:r>
    </w:p>
    <w:p w14:paraId="24CAB4AD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（2）丢包率：全年平均丢包率≤0.01%，重大业务时段零丢包。</w:t>
      </w:r>
    </w:p>
    <w:p w14:paraId="1757BB62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（3）可用性：链路全年可用率≥99.99%，具备多级保护倒换机制。</w:t>
      </w:r>
    </w:p>
    <w:p w14:paraId="4C9FD2EF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（4）保护机制：支持光层、电层双重保护，故障倒换时间≤50ms，业务无感知切换。</w:t>
      </w:r>
    </w:p>
    <w:p w14:paraId="21C9B34A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（5）OAM能力：具备完善的端到端OAM监控、故障检测、链路告警、多级TCM运维监测能力，可精准定位故障点位。</w:t>
      </w:r>
    </w:p>
    <w:p w14:paraId="5EA354D5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3.施工及开通要求</w:t>
      </w:r>
    </w:p>
    <w:p w14:paraId="3FE439B7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（1）供应商负责全程光路铺设、端口部署、设备调试、链路测试、数据配置，所有施工费用包含在报价内。</w:t>
      </w:r>
    </w:p>
    <w:p w14:paraId="019676D8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（2）开通周期：合同签订后30日历天内完成全部链路开通、测试、试运行，提交完整测试报告。</w:t>
      </w:r>
    </w:p>
    <w:p w14:paraId="4A86C4FF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（3）测试标准：完成带宽、时延、抖动、丢包、保护倒换、隔离性等全项测试，所有指标达标后方可验收。</w:t>
      </w:r>
    </w:p>
    <w:p w14:paraId="5547586C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4.运维保障要求</w:t>
      </w:r>
    </w:p>
    <w:p w14:paraId="43737586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（1）服务团队：提供本地化专属运维人员，7×24小时全天候运维值守。</w:t>
      </w:r>
    </w:p>
    <w:p w14:paraId="25432AAC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（2）故障处置：一般故障30分钟内响应、2小时内修复；重大故障10分钟响应、4小时内完成故障处置，无法即时修复的提供备用链路兜底。</w:t>
      </w:r>
    </w:p>
    <w:p w14:paraId="0EE52B04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（3）日常运维：每月提供链路运行报表，包含带宽利用率、时延、丢包、告警统计、运维记录等；每季度开展链路巡检、隐患排查。</w:t>
      </w:r>
    </w:p>
    <w:p w14:paraId="0C29D08C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（4）扩容适配：服务期内支持带宽平滑扩容、点位调整、链路优化，响应时限不超过3个工作日。</w:t>
      </w:r>
    </w:p>
    <w:p w14:paraId="2913B7CB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5.安全要求</w:t>
      </w:r>
    </w:p>
    <w:p w14:paraId="7DEB25BB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（1）链路全程物理隔离，不与公网、其他用户网络共享，杜绝数据泄露、网络串扰风险。</w:t>
      </w:r>
    </w:p>
    <w:p w14:paraId="243CD6E6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（2）具备链路防攻击、防窃听、防篡改能力，适配政务、企业核心涉密业务传输需求。</w:t>
      </w:r>
    </w:p>
    <w:p w14:paraId="38BD4A30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（3）运维操作全程留痕，可追溯、可审计，严格遵守网络安全及数据安全相关法规。</w:t>
      </w:r>
    </w:p>
    <w:p w14:paraId="577B32DD">
      <w:pPr>
        <w:spacing w:line="56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四、设计要求</w:t>
      </w:r>
    </w:p>
    <w:p w14:paraId="7DC69410">
      <w:pPr>
        <w:pStyle w:val="4"/>
        <w:spacing w:after="0" w:line="560" w:lineRule="exact"/>
        <w:ind w:firstLine="560" w:firstLineChars="200"/>
        <w:jc w:val="both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物探院数字专线升级项目设计应满足带宽需求、数据安全、传输稳定等相关技术要求，设计应满足的规范和标准主要包括但不仅仅限于以下所列范围：</w:t>
      </w:r>
    </w:p>
    <w:p w14:paraId="0D8CDEEF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1</w:t>
      </w:r>
      <w:r>
        <w:rPr>
          <w:rFonts w:ascii="仿宋_GB2312" w:eastAsia="仿宋_GB2312" w:hAnsiTheme="minorEastAsia"/>
          <w:sz w:val="28"/>
          <w:szCs w:val="28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国家通用工程设计与建设标准</w:t>
      </w:r>
    </w:p>
    <w:p w14:paraId="477E1D9B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（1）GB 50311-2016《综合布线系统工程设计规范》：规范项目综合布线、链路架构、线缆选型、端口冗余、敷设工艺等设计要求，保障专线接入链路规范性与兼容性，满足带宽扩容升级需求。</w:t>
      </w:r>
    </w:p>
    <w:p w14:paraId="4DB8651F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（2）GB 50174-2017《数据中心设计规范》：规范机房设备部署、供电、散热、接地、环境防护等设计标准，为专线核心传输设备、汇聚设备提供稳定运行环境。</w:t>
      </w:r>
    </w:p>
    <w:p w14:paraId="769B3DDF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（3）GB 50373-2019《通信管道与通道工程设计标准》：规范专线外网管道、光缆敷设、路由规划、防护设计要求，保障传输线路物理安全与长期稳定性。</w:t>
      </w:r>
    </w:p>
    <w:p w14:paraId="1C134C98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（4）GB/T 25000 系列《软件与系统工程 软件质量模型》：指导专线传输系统、运维管理系统的稳定性、可靠性、可维护性设计，适配业务长期运行需求。</w:t>
      </w:r>
    </w:p>
    <w:p w14:paraId="30C8BBD2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2</w:t>
      </w:r>
      <w:r>
        <w:rPr>
          <w:rFonts w:ascii="仿宋_GB2312" w:eastAsia="仿宋_GB2312" w:hAnsiTheme="minorEastAsia"/>
          <w:sz w:val="28"/>
          <w:szCs w:val="28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通信传输与专线行业专用标准</w:t>
      </w:r>
    </w:p>
    <w:p w14:paraId="5F22AC7B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（1）YD 5095-2014《同步数字体系(SDH)光纤传输系统工程设计规范》：规范光纤传输链路、组网架构、带宽配置、时隙规划、同步系统设计，保障专线高速、稳定、低时延传输。</w:t>
      </w:r>
    </w:p>
    <w:p w14:paraId="6966B1C4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（2）YD 5044-2014《同步数字体系(SDH)光纤传输系统工程验收规范》：明确专线升级工程施工、测试、验收技术指标，约束传输误码率、链路抖动、时延等核心参数达标。</w:t>
      </w:r>
    </w:p>
    <w:p w14:paraId="6E4D7E98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（3）YD/T 5122-2014《通信线路工程设计规范》：规范光缆、尾纤、接入线路的敷设、接续、防护、冗余备份设计，规避线路故障风险，提升传输可靠性。</w:t>
      </w:r>
    </w:p>
    <w:p w14:paraId="3A7D891E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（4）数字数据网（DDN）工程设计相关规范：适配专线数据传输、点对点通信、专线带宽独享的设计要求，保障专线业务专属传输、无共享抢占。</w:t>
      </w:r>
    </w:p>
    <w:p w14:paraId="0EB6632F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（5）ITU-T G.707、G.826 国际传输标准：规范数字传输帧结构、线路编码、误码性能指标，要求全程链路传输误码率满足行业高标准，保障高速专线传输质量。</w:t>
      </w:r>
    </w:p>
    <w:p w14:paraId="1149AAD1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3</w:t>
      </w:r>
      <w:r>
        <w:rPr>
          <w:rFonts w:ascii="仿宋_GB2312" w:eastAsia="仿宋_GB2312" w:hAnsiTheme="minorEastAsia"/>
          <w:sz w:val="28"/>
          <w:szCs w:val="28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网络与数据安全规范标准</w:t>
      </w:r>
    </w:p>
    <w:p w14:paraId="66FC0E37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（1）GB/T 22239-2019《信息安全技术 网络安全等级保护基本要求》：按照对应等保级别，落实专线网络边界防护、访问控制、数据传输加密、日志审计、风险防控等安全设计。</w:t>
      </w:r>
    </w:p>
    <w:p w14:paraId="2F17F142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（2）GB/T 35273-2020《信息安全技术 个人信息安全规范》：规范专线传输业务数据、用户信息的传输、存储、防护要求，杜绝数据泄露、篡改风险。</w:t>
      </w:r>
    </w:p>
    <w:p w14:paraId="746F2D58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（3）GB/T 25021 系列网络安全设计标准：指导专线网络安全架构、安全策略、防护机制设计，保障数据传输全程安全可控。</w:t>
      </w:r>
    </w:p>
    <w:p w14:paraId="7865F05B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5</w:t>
      </w:r>
      <w:r>
        <w:rPr>
          <w:rFonts w:ascii="仿宋_GB2312" w:eastAsia="仿宋_GB2312" w:hAnsiTheme="minorEastAsia"/>
          <w:sz w:val="28"/>
          <w:szCs w:val="28"/>
          <w:lang w:eastAsia="zh-CN"/>
        </w:rPr>
        <w:t>.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电磁兼容与设备运行标准</w:t>
      </w:r>
    </w:p>
    <w:p w14:paraId="1231A0FC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（1）GB/T 17626.2 系列电磁兼容标准：设备及线路设计满足静电放电、电磁干扰、辐射抗扰度要求，避免外界干扰导致的传输波动、数据异常。</w:t>
      </w:r>
    </w:p>
    <w:p w14:paraId="5836BE7C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（2）GB/T 13426-1992《数字通信设备可靠性要求及测试方法》：规范专线传输设备可靠性设计与性能测试标准，保障设备长期稳定运行。</w:t>
      </w:r>
    </w:p>
    <w:p w14:paraId="2ED73914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ascii="仿宋_GB2312" w:eastAsia="仿宋_GB2312" w:hAnsiTheme="minorEastAsia"/>
          <w:sz w:val="28"/>
          <w:szCs w:val="28"/>
          <w:lang w:eastAsia="zh-CN"/>
        </w:rPr>
        <w:t>5.</w:t>
      </w: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补充兜底要求</w:t>
      </w:r>
    </w:p>
    <w:p w14:paraId="49F8C7F3">
      <w:pPr>
        <w:pStyle w:val="4"/>
        <w:spacing w:after="0" w:line="560" w:lineRule="exact"/>
        <w:ind w:firstLine="560" w:firstLineChars="200"/>
        <w:rPr>
          <w:rFonts w:ascii="仿宋_GB2312" w:eastAsia="仿宋_GB2312" w:hAnsiTheme="minorEastAsia"/>
          <w:sz w:val="28"/>
          <w:szCs w:val="28"/>
          <w:lang w:eastAsia="zh-CN"/>
        </w:rPr>
      </w:pPr>
      <w:r>
        <w:rPr>
          <w:rFonts w:hint="eastAsia" w:ascii="仿宋_GB2312" w:eastAsia="仿宋_GB2312" w:hAnsiTheme="minorEastAsia"/>
          <w:sz w:val="28"/>
          <w:szCs w:val="28"/>
          <w:lang w:eastAsia="zh-CN"/>
        </w:rPr>
        <w:t>本项目设计除满足上述规范标准外，同时严格遵循三大基础电信运营商专线建设、组网、安全、运维企业技术规范及现行国家、行业最新修订标准。所有设计方案、施工工艺、设备参数、安全策略均需符合政府采购及通信工程建设合规要求，确保项目带宽达标、传输稳定、数据安全、合规可用、便于后期运维升级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E40C7E"/>
    <w:multiLevelType w:val="multilevel"/>
    <w:tmpl w:val="5BE40C7E"/>
    <w:lvl w:ilvl="0" w:tentative="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B1"/>
    <w:rsid w:val="000629B1"/>
    <w:rsid w:val="000B04FB"/>
    <w:rsid w:val="000B33D3"/>
    <w:rsid w:val="000D762F"/>
    <w:rsid w:val="00161631"/>
    <w:rsid w:val="0019069A"/>
    <w:rsid w:val="001C0618"/>
    <w:rsid w:val="0022581B"/>
    <w:rsid w:val="00240FA2"/>
    <w:rsid w:val="002530BB"/>
    <w:rsid w:val="002A1D98"/>
    <w:rsid w:val="002D2676"/>
    <w:rsid w:val="002E32F2"/>
    <w:rsid w:val="002F1B1C"/>
    <w:rsid w:val="00315E4D"/>
    <w:rsid w:val="00336E67"/>
    <w:rsid w:val="00381042"/>
    <w:rsid w:val="003E7808"/>
    <w:rsid w:val="00433975"/>
    <w:rsid w:val="0043569A"/>
    <w:rsid w:val="004B53BD"/>
    <w:rsid w:val="00504BD0"/>
    <w:rsid w:val="00511A59"/>
    <w:rsid w:val="005C2A4E"/>
    <w:rsid w:val="00657EC4"/>
    <w:rsid w:val="00702DD2"/>
    <w:rsid w:val="007623D7"/>
    <w:rsid w:val="0079680C"/>
    <w:rsid w:val="007D512E"/>
    <w:rsid w:val="007E0FDA"/>
    <w:rsid w:val="008035FC"/>
    <w:rsid w:val="00815376"/>
    <w:rsid w:val="00842D3E"/>
    <w:rsid w:val="00857909"/>
    <w:rsid w:val="00880B90"/>
    <w:rsid w:val="008A59F2"/>
    <w:rsid w:val="008B69DB"/>
    <w:rsid w:val="008D3A1A"/>
    <w:rsid w:val="008F1D7A"/>
    <w:rsid w:val="00911296"/>
    <w:rsid w:val="00937F9C"/>
    <w:rsid w:val="00977FC0"/>
    <w:rsid w:val="00980849"/>
    <w:rsid w:val="009D5DAE"/>
    <w:rsid w:val="00A96BFB"/>
    <w:rsid w:val="00AC7B7B"/>
    <w:rsid w:val="00AD380D"/>
    <w:rsid w:val="00AE6C7C"/>
    <w:rsid w:val="00B5121C"/>
    <w:rsid w:val="00CA0A62"/>
    <w:rsid w:val="00CA57AE"/>
    <w:rsid w:val="00CD7E97"/>
    <w:rsid w:val="00D133D7"/>
    <w:rsid w:val="00E5197D"/>
    <w:rsid w:val="00E832A7"/>
    <w:rsid w:val="00EB63C8"/>
    <w:rsid w:val="00EE6FEC"/>
    <w:rsid w:val="00F47506"/>
    <w:rsid w:val="10C41590"/>
    <w:rsid w:val="268626FC"/>
    <w:rsid w:val="382C36DD"/>
    <w:rsid w:val="39D65971"/>
    <w:rsid w:val="41EE3A38"/>
    <w:rsid w:val="4FE13525"/>
    <w:rsid w:val="51A13EE7"/>
    <w:rsid w:val="5758495A"/>
    <w:rsid w:val="5D9D66D2"/>
    <w:rsid w:val="623C2059"/>
    <w:rsid w:val="692678C2"/>
    <w:rsid w:val="75AC6341"/>
    <w:rsid w:val="77EF77A3"/>
    <w:rsid w:val="78A371FC"/>
    <w:rsid w:val="7D0E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adjustRightInd w:val="0"/>
      <w:spacing w:before="340" w:after="330" w:line="578" w:lineRule="atLeast"/>
      <w:jc w:val="left"/>
      <w:textAlignment w:val="baseline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5"/>
    <w:basedOn w:val="1"/>
    <w:next w:val="1"/>
    <w:link w:val="1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5"/>
    <w:unhideWhenUsed/>
    <w:qFormat/>
    <w:uiPriority w:val="99"/>
    <w:pPr>
      <w:widowControl/>
      <w:spacing w:after="120" w:line="276" w:lineRule="auto"/>
      <w:jc w:val="left"/>
    </w:pPr>
    <w:rPr>
      <w:rFonts w:ascii="微软雅黑" w:hAnsi="微软雅黑" w:eastAsia="微软雅黑"/>
      <w:kern w:val="0"/>
      <w:sz w:val="22"/>
      <w:lang w:eastAsia="en-US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7"/>
    <w:uiPriority w:val="99"/>
    <w:rPr>
      <w:sz w:val="18"/>
      <w:szCs w:val="18"/>
    </w:rPr>
  </w:style>
  <w:style w:type="character" w:customStyle="1" w:styleId="12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标题 1 字符"/>
    <w:basedOn w:val="1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标题 5 字符"/>
    <w:basedOn w:val="10"/>
    <w:link w:val="3"/>
    <w:semiHidden/>
    <w:qFormat/>
    <w:uiPriority w:val="9"/>
    <w:rPr>
      <w:b/>
      <w:bCs/>
      <w:sz w:val="28"/>
      <w:szCs w:val="28"/>
    </w:rPr>
  </w:style>
  <w:style w:type="character" w:customStyle="1" w:styleId="15">
    <w:name w:val="正文文本 字符"/>
    <w:basedOn w:val="10"/>
    <w:link w:val="4"/>
    <w:qFormat/>
    <w:uiPriority w:val="99"/>
    <w:rPr>
      <w:rFonts w:ascii="微软雅黑" w:hAnsi="微软雅黑" w:eastAsia="微软雅黑"/>
      <w:kern w:val="0"/>
      <w:sz w:val="22"/>
      <w:lang w:eastAsia="en-US"/>
    </w:rPr>
  </w:style>
  <w:style w:type="paragraph" w:customStyle="1" w:styleId="16">
    <w:name w:val="(1)样式"/>
    <w:basedOn w:val="1"/>
    <w:qFormat/>
    <w:uiPriority w:val="0"/>
    <w:pPr>
      <w:ind w:firstLine="480" w:firstLineChars="200"/>
    </w:pPr>
    <w:rPr>
      <w:rFonts w:ascii="仿宋_GB2312" w:hAnsi="Times New Roman" w:eastAsia="仿宋_GB2312" w:cs="宋体"/>
      <w:kern w:val="0"/>
      <w:sz w:val="28"/>
      <w:szCs w:val="20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框文本 字符"/>
    <w:basedOn w:val="10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80340F6F440D0B4EA5026FFDB8FFDB55" ma:contentTypeVersion="1" ma:contentTypeDescription="新建文档。" ma:contentTypeScope="" ma:versionID="4a62dab36835a9c2438dfec9989dc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107b0345c29e57748057d300629ffc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计划开始日期" ma:description="“计划开始日期”是由“发布”功能创建的网站栏。它用于指定第一次向网站访问者显示此页面的日期和时间。" ma:hidden="true" ma:internalName="PublishingStartDate">
      <xsd:simpleType>
        <xsd:restriction base="dms:Unknown"/>
      </xsd:simpleType>
    </xsd:element>
    <xsd:element name="PublishingExpirationDate" ma:index="9" nillable="true" ma:displayName="计划结束日期" ma:description="“计划结束日期”是由“发布”功能创建的网站栏。它用于指定不再向网站访问者显示此页面的日期和时间。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BF57D-5ADC-4C71-AA92-23439388CCFE}">
  <ds:schemaRefs/>
</ds:datastoreItem>
</file>

<file path=customXml/itemProps2.xml><?xml version="1.0" encoding="utf-8"?>
<ds:datastoreItem xmlns:ds="http://schemas.openxmlformats.org/officeDocument/2006/customXml" ds:itemID="{B12DCE4D-8A22-4984-9ABB-E96BA0424995}">
  <ds:schemaRefs/>
</ds:datastoreItem>
</file>

<file path=customXml/itemProps3.xml><?xml version="1.0" encoding="utf-8"?>
<ds:datastoreItem xmlns:ds="http://schemas.openxmlformats.org/officeDocument/2006/customXml" ds:itemID="{6862F99E-50A0-434C-B3B1-83417EF982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8</Pages>
  <Words>456</Words>
  <Characters>2605</Characters>
  <Lines>21</Lines>
  <Paragraphs>6</Paragraphs>
  <TotalTime>86</TotalTime>
  <ScaleCrop>false</ScaleCrop>
  <LinksUpToDate>false</LinksUpToDate>
  <CharactersWithSpaces>3055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周中彪</cp:lastModifiedBy>
  <cp:revision>16</cp:revision>
  <cp:lastPrinted>2024-05-23T00:34:00Z</cp:lastPrinted>
  <dcterms:created xsi:type="dcterms:W3CDTF">2022-07-23T02:58:00Z</dcterms:created>
  <dcterms:modified xsi:type="dcterms:W3CDTF">2026-07-21T08:31:30Z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0x01010080340F6F440D0B4EA5026FFDB8FFDB55</vt:lpwstr>
  </property>
  <property fmtid="{D5CDD505-2E9C-101B-9397-08002B2CF9AE}" pid="3" name="KSOProductBuildVer">
    <vt:lpwstr>2052-12.8.2.18606</vt:lpwstr>
  </property>
  <property fmtid="{D5CDD505-2E9C-101B-9397-08002B2CF9AE}" pid="4" name="ICV">
    <vt:lpwstr>60D7A312BBE8414BA5C474FD18A1F8B5</vt:lpwstr>
  </property>
</Properties>
</file>