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F21085">
      <w:pPr>
        <w:autoSpaceDE w:val="0"/>
        <w:autoSpaceDN w:val="0"/>
        <w:adjustRightInd w:val="0"/>
        <w:jc w:val="center"/>
        <w:rPr>
          <w:rFonts w:ascii="宋体"/>
          <w:caps/>
          <w:color w:val="auto"/>
          <w:sz w:val="44"/>
          <w:szCs w:val="44"/>
          <w:highlight w:val="none"/>
        </w:rPr>
      </w:pPr>
    </w:p>
    <w:p w14:paraId="2991C70D">
      <w:pPr>
        <w:autoSpaceDE w:val="0"/>
        <w:autoSpaceDN w:val="0"/>
        <w:adjustRightInd w:val="0"/>
        <w:jc w:val="center"/>
        <w:rPr>
          <w:rFonts w:ascii="宋体"/>
          <w:caps/>
          <w:color w:val="auto"/>
          <w:sz w:val="44"/>
          <w:szCs w:val="44"/>
          <w:highlight w:val="none"/>
        </w:rPr>
      </w:pPr>
    </w:p>
    <w:p w14:paraId="32726D40">
      <w:pPr>
        <w:autoSpaceDE w:val="0"/>
        <w:autoSpaceDN w:val="0"/>
        <w:adjustRightInd w:val="0"/>
        <w:jc w:val="center"/>
        <w:outlineLvl w:val="0"/>
        <w:rPr>
          <w:rFonts w:ascii="仿宋" w:hAnsi="仿宋" w:eastAsia="仿宋" w:cs="仿宋"/>
          <w:b/>
          <w:color w:val="auto"/>
          <w:sz w:val="100"/>
          <w:szCs w:val="100"/>
          <w:highlight w:val="none"/>
        </w:rPr>
      </w:pPr>
      <w:bookmarkStart w:id="0" w:name="_Toc4497"/>
      <w:r>
        <w:rPr>
          <w:rFonts w:hint="eastAsia" w:ascii="仿宋" w:hAnsi="仿宋" w:eastAsia="仿宋" w:cs="仿宋"/>
          <w:b/>
          <w:color w:val="auto"/>
          <w:sz w:val="100"/>
          <w:szCs w:val="100"/>
          <w:highlight w:val="none"/>
          <w:lang w:bidi="ar"/>
        </w:rPr>
        <w:t>竞争性谈判文件</w:t>
      </w:r>
      <w:bookmarkEnd w:id="0"/>
    </w:p>
    <w:p w14:paraId="42A37110">
      <w:pPr>
        <w:autoSpaceDE w:val="0"/>
        <w:autoSpaceDN w:val="0"/>
        <w:adjustRightInd w:val="0"/>
        <w:jc w:val="center"/>
        <w:rPr>
          <w:rFonts w:ascii="黑体" w:eastAsia="黑体"/>
          <w:color w:val="auto"/>
          <w:sz w:val="32"/>
          <w:szCs w:val="32"/>
          <w:highlight w:val="none"/>
        </w:rPr>
      </w:pPr>
    </w:p>
    <w:p w14:paraId="35EE236A">
      <w:pPr>
        <w:autoSpaceDE w:val="0"/>
        <w:autoSpaceDN w:val="0"/>
        <w:adjustRightInd w:val="0"/>
        <w:jc w:val="center"/>
        <w:rPr>
          <w:rFonts w:ascii="黑体" w:eastAsia="黑体"/>
          <w:color w:val="auto"/>
          <w:sz w:val="32"/>
          <w:szCs w:val="32"/>
          <w:highlight w:val="none"/>
        </w:rPr>
      </w:pPr>
    </w:p>
    <w:p w14:paraId="78D3520D">
      <w:pPr>
        <w:autoSpaceDE w:val="0"/>
        <w:autoSpaceDN w:val="0"/>
        <w:adjustRightInd w:val="0"/>
        <w:jc w:val="center"/>
        <w:rPr>
          <w:rFonts w:ascii="黑体" w:eastAsia="黑体"/>
          <w:color w:val="auto"/>
          <w:sz w:val="32"/>
          <w:szCs w:val="32"/>
          <w:highlight w:val="none"/>
        </w:rPr>
      </w:pPr>
    </w:p>
    <w:p w14:paraId="7BB1DC72">
      <w:pPr>
        <w:autoSpaceDE w:val="0"/>
        <w:autoSpaceDN w:val="0"/>
        <w:adjustRightInd w:val="0"/>
        <w:jc w:val="center"/>
        <w:rPr>
          <w:rFonts w:ascii="黑体" w:eastAsia="黑体"/>
          <w:color w:val="auto"/>
          <w:sz w:val="32"/>
          <w:szCs w:val="32"/>
          <w:highlight w:val="none"/>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4830"/>
      </w:tblGrid>
      <w:tr w14:paraId="145E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6E635E0F">
            <w:pPr>
              <w:autoSpaceDE w:val="0"/>
              <w:autoSpaceDN w:val="0"/>
              <w:adjustRightInd w:val="0"/>
              <w:jc w:val="center"/>
              <w:rPr>
                <w:rFonts w:ascii="黑体" w:eastAsia="黑体"/>
                <w:color w:val="auto"/>
                <w:sz w:val="32"/>
                <w:szCs w:val="32"/>
                <w:highlight w:val="none"/>
              </w:rPr>
            </w:pPr>
            <w:r>
              <w:rPr>
                <w:rFonts w:hint="eastAsia" w:ascii="仿宋" w:hAnsi="仿宋" w:eastAsia="仿宋" w:cs="仿宋"/>
                <w:b/>
                <w:color w:val="auto"/>
                <w:sz w:val="36"/>
                <w:szCs w:val="36"/>
                <w:highlight w:val="none"/>
                <w:lang w:bidi="ar"/>
              </w:rPr>
              <w:t>项目编号：</w:t>
            </w:r>
          </w:p>
        </w:tc>
        <w:tc>
          <w:tcPr>
            <w:tcW w:w="4830" w:type="dxa"/>
            <w:tcBorders>
              <w:top w:val="single" w:color="auto" w:sz="4" w:space="0"/>
              <w:left w:val="single" w:color="auto" w:sz="4" w:space="0"/>
              <w:bottom w:val="single" w:color="auto" w:sz="4" w:space="0"/>
              <w:right w:val="single" w:color="auto" w:sz="4" w:space="0"/>
            </w:tcBorders>
            <w:shd w:val="clear" w:color="auto" w:fill="auto"/>
            <w:vAlign w:val="center"/>
          </w:tcPr>
          <w:p w14:paraId="38717398">
            <w:pPr>
              <w:autoSpaceDE w:val="0"/>
              <w:autoSpaceDN w:val="0"/>
              <w:adjustRightInd w:val="0"/>
              <w:jc w:val="center"/>
              <w:rPr>
                <w:rFonts w:ascii="黑体" w:eastAsia="黑体"/>
                <w:color w:val="auto"/>
                <w:sz w:val="32"/>
                <w:szCs w:val="32"/>
                <w:highlight w:val="none"/>
              </w:rPr>
            </w:pPr>
            <w:r>
              <w:rPr>
                <w:rFonts w:hint="eastAsia" w:ascii="仿宋" w:hAnsi="仿宋" w:eastAsia="仿宋" w:cs="仿宋"/>
                <w:b/>
                <w:color w:val="auto"/>
                <w:sz w:val="36"/>
                <w:szCs w:val="36"/>
                <w:highlight w:val="none"/>
                <w:lang w:bidi="ar"/>
              </w:rPr>
              <w:t>\</w:t>
            </w:r>
          </w:p>
        </w:tc>
      </w:tr>
      <w:tr w14:paraId="627A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1EBB7202">
            <w:pPr>
              <w:autoSpaceDE w:val="0"/>
              <w:autoSpaceDN w:val="0"/>
              <w:adjustRightInd w:val="0"/>
              <w:jc w:val="center"/>
              <w:rPr>
                <w:rFonts w:ascii="黑体" w:eastAsia="黑体"/>
                <w:color w:val="auto"/>
                <w:sz w:val="32"/>
                <w:szCs w:val="32"/>
                <w:highlight w:val="none"/>
              </w:rPr>
            </w:pPr>
            <w:r>
              <w:rPr>
                <w:rFonts w:hint="eastAsia" w:ascii="仿宋" w:hAnsi="仿宋" w:eastAsia="仿宋" w:cs="仿宋"/>
                <w:b/>
                <w:color w:val="auto"/>
                <w:sz w:val="36"/>
                <w:szCs w:val="36"/>
                <w:highlight w:val="none"/>
                <w:lang w:bidi="ar"/>
              </w:rPr>
              <w:t>项目名称：</w:t>
            </w:r>
          </w:p>
        </w:tc>
        <w:tc>
          <w:tcPr>
            <w:tcW w:w="4830" w:type="dxa"/>
            <w:tcBorders>
              <w:top w:val="single" w:color="auto" w:sz="4" w:space="0"/>
              <w:left w:val="single" w:color="auto" w:sz="4" w:space="0"/>
              <w:bottom w:val="single" w:color="auto" w:sz="4" w:space="0"/>
              <w:right w:val="single" w:color="auto" w:sz="4" w:space="0"/>
            </w:tcBorders>
            <w:shd w:val="clear" w:color="auto" w:fill="auto"/>
            <w:vAlign w:val="center"/>
          </w:tcPr>
          <w:p w14:paraId="14719A8F">
            <w:pPr>
              <w:autoSpaceDE w:val="0"/>
              <w:autoSpaceDN w:val="0"/>
              <w:adjustRightInd w:val="0"/>
              <w:jc w:val="center"/>
              <w:rPr>
                <w:rFonts w:ascii="黑体" w:eastAsia="黑体"/>
                <w:color w:val="auto"/>
                <w:sz w:val="32"/>
                <w:szCs w:val="32"/>
                <w:highlight w:val="none"/>
              </w:rPr>
            </w:pPr>
            <w:r>
              <w:rPr>
                <w:rFonts w:hint="eastAsia" w:ascii="仿宋" w:hAnsi="仿宋" w:eastAsia="仿宋" w:cs="仿宋"/>
                <w:b/>
                <w:color w:val="auto"/>
                <w:sz w:val="36"/>
                <w:szCs w:val="36"/>
                <w:highlight w:val="none"/>
                <w:lang w:bidi="ar"/>
              </w:rPr>
              <w:t>物探院南广场场地改造监理选商</w:t>
            </w:r>
          </w:p>
        </w:tc>
      </w:tr>
    </w:tbl>
    <w:p w14:paraId="3DEAE65A">
      <w:pPr>
        <w:pStyle w:val="38"/>
        <w:widowControl w:val="0"/>
        <w:spacing w:before="0" w:beforeAutospacing="0" w:after="0" w:afterAutospacing="0" w:line="384" w:lineRule="auto"/>
        <w:ind w:hanging="420"/>
        <w:jc w:val="center"/>
        <w:rPr>
          <w:rFonts w:ascii="Calibri" w:hAnsi="Calibri" w:cs="Times New Roman"/>
          <w:color w:val="auto"/>
          <w:kern w:val="2"/>
          <w:sz w:val="21"/>
          <w:szCs w:val="21"/>
          <w:highlight w:val="none"/>
        </w:rPr>
      </w:pPr>
    </w:p>
    <w:p w14:paraId="6F6DF9F7">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4709224B">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021127C5">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3C8A7D95">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31D5C647">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32588A2E">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11182E69">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7360DE20">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62582AB3">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374E972C">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106721DF">
      <w:pPr>
        <w:autoSpaceDE w:val="0"/>
        <w:autoSpaceDN w:val="0"/>
        <w:adjustRightInd w:val="0"/>
        <w:spacing w:line="480" w:lineRule="auto"/>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lang w:bidi="ar"/>
        </w:rPr>
        <w:t>需求方：中石化石油物探技术研究院有限公司</w:t>
      </w:r>
    </w:p>
    <w:p w14:paraId="0D83F66A">
      <w:pPr>
        <w:autoSpaceDE w:val="0"/>
        <w:autoSpaceDN w:val="0"/>
        <w:adjustRightInd w:val="0"/>
        <w:spacing w:line="480" w:lineRule="auto"/>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lang w:bidi="ar"/>
        </w:rPr>
        <w:t>二○二六年</w:t>
      </w:r>
      <w:r>
        <w:rPr>
          <w:rFonts w:hint="eastAsia" w:ascii="仿宋" w:hAnsi="仿宋" w:eastAsia="仿宋" w:cs="仿宋"/>
          <w:b/>
          <w:color w:val="auto"/>
          <w:sz w:val="32"/>
          <w:szCs w:val="32"/>
          <w:highlight w:val="none"/>
          <w:lang w:val="en-US" w:eastAsia="zh-CN" w:bidi="ar"/>
        </w:rPr>
        <w:t>七</w:t>
      </w:r>
      <w:r>
        <w:rPr>
          <w:rFonts w:hint="eastAsia" w:ascii="仿宋" w:hAnsi="仿宋" w:eastAsia="仿宋" w:cs="仿宋"/>
          <w:b/>
          <w:color w:val="auto"/>
          <w:sz w:val="32"/>
          <w:szCs w:val="32"/>
          <w:highlight w:val="none"/>
          <w:lang w:bidi="ar"/>
        </w:rPr>
        <w:t>月</w:t>
      </w:r>
    </w:p>
    <w:p w14:paraId="37777F39">
      <w:pPr>
        <w:ind w:firstLine="643"/>
        <w:rPr>
          <w:rFonts w:ascii="仿宋" w:hAnsi="仿宋" w:eastAsia="仿宋" w:cs="仿宋"/>
          <w:b/>
          <w:color w:val="auto"/>
          <w:sz w:val="32"/>
          <w:szCs w:val="44"/>
          <w:highlight w:val="none"/>
          <w:lang w:val="zh-CN"/>
        </w:rPr>
      </w:pPr>
      <w:r>
        <w:rPr>
          <w:rFonts w:hint="eastAsia" w:ascii="仿宋" w:hAnsi="仿宋" w:eastAsia="仿宋" w:cs="仿宋"/>
          <w:b/>
          <w:color w:val="auto"/>
          <w:sz w:val="32"/>
          <w:szCs w:val="44"/>
          <w:highlight w:val="none"/>
          <w:lang w:val="zh-CN"/>
        </w:rPr>
        <w:br w:type="page"/>
      </w:r>
    </w:p>
    <w:sdt>
      <w:sdtPr>
        <w:rPr>
          <w:rFonts w:ascii="宋体" w:hAnsi="宋体"/>
          <w:color w:val="auto"/>
          <w:highlight w:val="none"/>
        </w:rPr>
        <w:id w:val="147454095"/>
        <w15:color w:val="DBDBDB"/>
        <w:docPartObj>
          <w:docPartGallery w:val="Table of Contents"/>
          <w:docPartUnique/>
        </w:docPartObj>
      </w:sdtPr>
      <w:sdtEndPr>
        <w:rPr>
          <w:rFonts w:ascii="Calibri" w:hAnsi="Calibri"/>
          <w:color w:val="auto"/>
          <w:highlight w:val="none"/>
        </w:rPr>
      </w:sdtEndPr>
      <w:sdtContent>
        <w:p w14:paraId="2DC637FE">
          <w:pPr>
            <w:spacing w:line="480" w:lineRule="auto"/>
            <w:ind w:firstLine="420"/>
            <w:jc w:val="center"/>
            <w:rPr>
              <w:color w:val="auto"/>
              <w:sz w:val="28"/>
              <w:szCs w:val="28"/>
              <w:highlight w:val="none"/>
            </w:rPr>
          </w:pPr>
          <w:r>
            <w:rPr>
              <w:rFonts w:hint="eastAsia" w:ascii="黑体" w:hAnsi="黑体" w:eastAsia="黑体" w:cs="黑体"/>
              <w:b/>
              <w:bCs/>
              <w:color w:val="auto"/>
              <w:sz w:val="28"/>
              <w:szCs w:val="28"/>
              <w:highlight w:val="none"/>
            </w:rPr>
            <w:t>目  录</w:t>
          </w:r>
        </w:p>
        <w:p w14:paraId="62BD8A56">
          <w:pPr>
            <w:pStyle w:val="29"/>
            <w:tabs>
              <w:tab w:val="right" w:leader="dot" w:pos="8844"/>
            </w:tabs>
            <w:spacing w:line="480" w:lineRule="auto"/>
            <w:rPr>
              <w:color w:val="auto"/>
              <w:sz w:val="28"/>
              <w:szCs w:val="28"/>
              <w:highlight w:val="none"/>
            </w:rPr>
          </w:pPr>
          <w:r>
            <w:rPr>
              <w:rFonts w:hint="eastAsia" w:ascii="仿宋" w:hAnsi="仿宋" w:eastAsia="仿宋" w:cs="仿宋"/>
              <w:color w:val="auto"/>
              <w:sz w:val="28"/>
              <w:szCs w:val="28"/>
              <w:highlight w:val="none"/>
            </w:rPr>
            <w:fldChar w:fldCharType="begin"/>
          </w:r>
          <w:r>
            <w:rPr>
              <w:rFonts w:ascii="仿宋" w:hAnsi="仿宋" w:eastAsia="仿宋" w:cs="仿宋"/>
              <w:color w:val="auto"/>
              <w:sz w:val="28"/>
              <w:szCs w:val="28"/>
              <w:highlight w:val="none"/>
            </w:rPr>
            <w:instrText xml:space="preserve">TOC \o "1-1" \h \u </w:instrText>
          </w:r>
          <w:r>
            <w:rPr>
              <w:rFonts w:hint="eastAsia" w:ascii="仿宋" w:hAnsi="仿宋" w:eastAsia="仿宋" w:cs="仿宋"/>
              <w:color w:val="auto"/>
              <w:sz w:val="28"/>
              <w:szCs w:val="28"/>
              <w:highlight w:val="none"/>
            </w:rPr>
            <w:fldChar w:fldCharType="separate"/>
          </w:r>
          <w:r>
            <w:rPr>
              <w:color w:val="auto"/>
              <w:highlight w:val="none"/>
            </w:rPr>
            <w:fldChar w:fldCharType="begin"/>
          </w:r>
          <w:r>
            <w:rPr>
              <w:color w:val="auto"/>
              <w:highlight w:val="none"/>
            </w:rPr>
            <w:instrText xml:space="preserve"> HYPERLINK \l "_Toc4497" </w:instrText>
          </w:r>
          <w:r>
            <w:rPr>
              <w:color w:val="auto"/>
              <w:highlight w:val="none"/>
            </w:rPr>
            <w:fldChar w:fldCharType="separate"/>
          </w:r>
          <w:r>
            <w:rPr>
              <w:rFonts w:hint="eastAsia" w:ascii="仿宋" w:hAnsi="仿宋" w:eastAsia="仿宋" w:cs="仿宋"/>
              <w:color w:val="auto"/>
              <w:sz w:val="28"/>
              <w:szCs w:val="28"/>
              <w:highlight w:val="none"/>
              <w:lang w:bidi="ar"/>
            </w:rPr>
            <w:t>竞争性谈判文件</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_Toc4497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250B56B4">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"_Toc30035" </w:instrText>
          </w:r>
          <w:r>
            <w:rPr>
              <w:color w:val="auto"/>
              <w:highlight w:val="none"/>
            </w:rPr>
            <w:fldChar w:fldCharType="separate"/>
          </w:r>
          <w:r>
            <w:rPr>
              <w:rFonts w:hint="eastAsia" w:ascii="仿宋" w:hAnsi="仿宋" w:eastAsia="仿宋" w:cs="仿宋"/>
              <w:bCs/>
              <w:color w:val="auto"/>
              <w:kern w:val="44"/>
              <w:sz w:val="28"/>
              <w:szCs w:val="28"/>
              <w:highlight w:val="none"/>
              <w:lang w:val="zh-CN"/>
            </w:rPr>
            <w:t>第一章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lang w:val="zh-CN"/>
            </w:rPr>
            <w:t>谈判</w:t>
          </w:r>
          <w:r>
            <w:rPr>
              <w:rFonts w:hint="eastAsia" w:ascii="仿宋" w:hAnsi="仿宋" w:eastAsia="仿宋" w:cs="仿宋"/>
              <w:bCs/>
              <w:color w:val="auto"/>
              <w:kern w:val="44"/>
              <w:sz w:val="28"/>
              <w:szCs w:val="28"/>
              <w:highlight w:val="none"/>
            </w:rPr>
            <w:t>邀请</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_Toc30035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color w:val="auto"/>
              <w:sz w:val="28"/>
              <w:szCs w:val="28"/>
              <w:highlight w:val="none"/>
            </w:rPr>
            <w:fldChar w:fldCharType="end"/>
          </w:r>
        </w:p>
        <w:p w14:paraId="4EA47A29">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"_Toc5267" </w:instrText>
          </w:r>
          <w:r>
            <w:rPr>
              <w:color w:val="auto"/>
              <w:highlight w:val="none"/>
            </w:rPr>
            <w:fldChar w:fldCharType="separate"/>
          </w:r>
          <w:r>
            <w:rPr>
              <w:rFonts w:hint="eastAsia" w:ascii="仿宋" w:hAnsi="仿宋" w:eastAsia="仿宋" w:cs="仿宋"/>
              <w:bCs/>
              <w:color w:val="auto"/>
              <w:kern w:val="44"/>
              <w:sz w:val="28"/>
              <w:szCs w:val="28"/>
              <w:highlight w:val="none"/>
            </w:rPr>
            <w:t>第二章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lang w:val="zh-CN"/>
            </w:rPr>
            <w:t>谈判供应商须知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_Toc5267 \h </w:instrText>
          </w:r>
          <w:r>
            <w:rPr>
              <w:color w:val="auto"/>
              <w:sz w:val="28"/>
              <w:szCs w:val="28"/>
              <w:highlight w:val="none"/>
            </w:rPr>
            <w:fldChar w:fldCharType="separate"/>
          </w:r>
          <w:r>
            <w:rPr>
              <w:color w:val="auto"/>
              <w:sz w:val="28"/>
              <w:szCs w:val="28"/>
              <w:highlight w:val="none"/>
            </w:rPr>
            <w:t>6</w:t>
          </w:r>
          <w:r>
            <w:rPr>
              <w:color w:val="auto"/>
              <w:sz w:val="28"/>
              <w:szCs w:val="28"/>
              <w:highlight w:val="none"/>
            </w:rPr>
            <w:fldChar w:fldCharType="end"/>
          </w:r>
          <w:r>
            <w:rPr>
              <w:color w:val="auto"/>
              <w:sz w:val="28"/>
              <w:szCs w:val="28"/>
              <w:highlight w:val="none"/>
            </w:rPr>
            <w:fldChar w:fldCharType="end"/>
          </w:r>
        </w:p>
        <w:p w14:paraId="2473E7B4">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"_Toc13104" </w:instrText>
          </w:r>
          <w:r>
            <w:rPr>
              <w:color w:val="auto"/>
              <w:highlight w:val="none"/>
            </w:rPr>
            <w:fldChar w:fldCharType="separate"/>
          </w:r>
          <w:r>
            <w:rPr>
              <w:rFonts w:hint="eastAsia" w:ascii="仿宋" w:hAnsi="仿宋" w:eastAsia="仿宋" w:cs="仿宋"/>
              <w:bCs/>
              <w:color w:val="auto"/>
              <w:kern w:val="44"/>
              <w:sz w:val="28"/>
              <w:szCs w:val="28"/>
              <w:highlight w:val="none"/>
            </w:rPr>
            <w:t>第三章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lang w:val="zh-CN"/>
            </w:rPr>
            <w:t>谈判评审标准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_Toc13104 \h </w:instrText>
          </w:r>
          <w:r>
            <w:rPr>
              <w:color w:val="auto"/>
              <w:sz w:val="28"/>
              <w:szCs w:val="28"/>
              <w:highlight w:val="none"/>
            </w:rPr>
            <w:fldChar w:fldCharType="separate"/>
          </w:r>
          <w:r>
            <w:rPr>
              <w:color w:val="auto"/>
              <w:sz w:val="28"/>
              <w:szCs w:val="28"/>
              <w:highlight w:val="none"/>
            </w:rPr>
            <w:t>16</w:t>
          </w:r>
          <w:r>
            <w:rPr>
              <w:color w:val="auto"/>
              <w:sz w:val="28"/>
              <w:szCs w:val="28"/>
              <w:highlight w:val="none"/>
            </w:rPr>
            <w:fldChar w:fldCharType="end"/>
          </w:r>
          <w:r>
            <w:rPr>
              <w:color w:val="auto"/>
              <w:sz w:val="28"/>
              <w:szCs w:val="28"/>
              <w:highlight w:val="none"/>
            </w:rPr>
            <w:fldChar w:fldCharType="end"/>
          </w:r>
        </w:p>
        <w:p w14:paraId="0E681240">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"_Toc3696" </w:instrText>
          </w:r>
          <w:r>
            <w:rPr>
              <w:color w:val="auto"/>
              <w:highlight w:val="none"/>
            </w:rPr>
            <w:fldChar w:fldCharType="separate"/>
          </w:r>
          <w:r>
            <w:rPr>
              <w:rFonts w:hint="eastAsia" w:ascii="仿宋" w:hAnsi="仿宋" w:eastAsia="仿宋" w:cs="仿宋"/>
              <w:bCs/>
              <w:color w:val="auto"/>
              <w:kern w:val="44"/>
              <w:sz w:val="28"/>
              <w:szCs w:val="28"/>
              <w:highlight w:val="none"/>
            </w:rPr>
            <w:t>第四章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rPr>
            <w:t>项目需求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_Toc3696 \h </w:instrText>
          </w:r>
          <w:r>
            <w:rPr>
              <w:color w:val="auto"/>
              <w:sz w:val="28"/>
              <w:szCs w:val="28"/>
              <w:highlight w:val="none"/>
            </w:rPr>
            <w:fldChar w:fldCharType="separate"/>
          </w:r>
          <w:r>
            <w:rPr>
              <w:color w:val="auto"/>
              <w:sz w:val="28"/>
              <w:szCs w:val="28"/>
              <w:highlight w:val="none"/>
            </w:rPr>
            <w:t>18</w:t>
          </w:r>
          <w:r>
            <w:rPr>
              <w:color w:val="auto"/>
              <w:sz w:val="28"/>
              <w:szCs w:val="28"/>
              <w:highlight w:val="none"/>
            </w:rPr>
            <w:fldChar w:fldCharType="end"/>
          </w:r>
          <w:r>
            <w:rPr>
              <w:color w:val="auto"/>
              <w:sz w:val="28"/>
              <w:szCs w:val="28"/>
              <w:highlight w:val="none"/>
            </w:rPr>
            <w:fldChar w:fldCharType="end"/>
          </w:r>
        </w:p>
        <w:p w14:paraId="14544A07">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"_Toc4823" </w:instrText>
          </w:r>
          <w:r>
            <w:rPr>
              <w:color w:val="auto"/>
              <w:highlight w:val="none"/>
            </w:rPr>
            <w:fldChar w:fldCharType="separate"/>
          </w:r>
          <w:r>
            <w:rPr>
              <w:rFonts w:hint="eastAsia" w:ascii="仿宋" w:hAnsi="仿宋" w:eastAsia="仿宋" w:cs="仿宋"/>
              <w:bCs/>
              <w:color w:val="auto"/>
              <w:kern w:val="44"/>
              <w:sz w:val="28"/>
              <w:szCs w:val="28"/>
              <w:highlight w:val="none"/>
              <w:lang w:val="zh-CN"/>
            </w:rPr>
            <w:t>第</w:t>
          </w:r>
          <w:r>
            <w:rPr>
              <w:rFonts w:hint="eastAsia" w:ascii="仿宋" w:hAnsi="仿宋" w:eastAsia="仿宋" w:cs="仿宋"/>
              <w:bCs/>
              <w:color w:val="auto"/>
              <w:kern w:val="44"/>
              <w:sz w:val="28"/>
              <w:szCs w:val="28"/>
              <w:highlight w:val="none"/>
            </w:rPr>
            <w:t>五</w:t>
          </w:r>
          <w:r>
            <w:rPr>
              <w:rFonts w:hint="eastAsia" w:ascii="仿宋" w:hAnsi="仿宋" w:eastAsia="仿宋" w:cs="仿宋"/>
              <w:bCs/>
              <w:color w:val="auto"/>
              <w:kern w:val="44"/>
              <w:sz w:val="28"/>
              <w:szCs w:val="28"/>
              <w:highlight w:val="none"/>
              <w:lang w:val="zh-CN"/>
            </w:rPr>
            <w:t>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lang w:val="zh-CN"/>
            </w:rPr>
            <w:t>谈判响应文件格式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_Toc4823 \h </w:instrText>
          </w:r>
          <w:r>
            <w:rPr>
              <w:color w:val="auto"/>
              <w:sz w:val="28"/>
              <w:szCs w:val="28"/>
              <w:highlight w:val="none"/>
            </w:rPr>
            <w:fldChar w:fldCharType="separate"/>
          </w:r>
          <w:r>
            <w:rPr>
              <w:color w:val="auto"/>
              <w:sz w:val="28"/>
              <w:szCs w:val="28"/>
              <w:highlight w:val="none"/>
            </w:rPr>
            <w:t>23</w:t>
          </w:r>
          <w:r>
            <w:rPr>
              <w:color w:val="auto"/>
              <w:sz w:val="28"/>
              <w:szCs w:val="28"/>
              <w:highlight w:val="none"/>
            </w:rPr>
            <w:fldChar w:fldCharType="end"/>
          </w:r>
          <w:r>
            <w:rPr>
              <w:color w:val="auto"/>
              <w:sz w:val="28"/>
              <w:szCs w:val="28"/>
              <w:highlight w:val="none"/>
            </w:rPr>
            <w:fldChar w:fldCharType="end"/>
          </w:r>
        </w:p>
        <w:p w14:paraId="6852977E">
          <w:pPr>
            <w:spacing w:line="480" w:lineRule="auto"/>
            <w:ind w:firstLine="420"/>
            <w:rPr>
              <w:color w:val="auto"/>
              <w:highlight w:val="none"/>
            </w:rPr>
          </w:pPr>
          <w:r>
            <w:rPr>
              <w:rFonts w:hint="eastAsia" w:ascii="仿宋" w:hAnsi="仿宋" w:eastAsia="仿宋" w:cs="仿宋"/>
              <w:color w:val="auto"/>
              <w:sz w:val="28"/>
              <w:szCs w:val="28"/>
              <w:highlight w:val="none"/>
            </w:rPr>
            <w:fldChar w:fldCharType="end"/>
          </w:r>
        </w:p>
      </w:sdtContent>
    </w:sdt>
    <w:p w14:paraId="715A846E">
      <w:pPr>
        <w:ind w:firstLine="420"/>
        <w:rPr>
          <w:color w:val="auto"/>
          <w:highlight w:val="none"/>
        </w:rPr>
      </w:pPr>
    </w:p>
    <w:p w14:paraId="3C7C5A38">
      <w:pPr>
        <w:autoSpaceDE w:val="0"/>
        <w:autoSpaceDN w:val="0"/>
        <w:adjustRightInd w:val="0"/>
        <w:ind w:left="6" w:firstLine="723"/>
        <w:jc w:val="center"/>
        <w:rPr>
          <w:rFonts w:ascii="仿宋" w:hAnsi="仿宋" w:eastAsia="仿宋" w:cs="仿宋"/>
          <w:b/>
          <w:bCs/>
          <w:color w:val="auto"/>
          <w:kern w:val="44"/>
          <w:sz w:val="36"/>
          <w:szCs w:val="36"/>
          <w:highlight w:val="none"/>
          <w:lang w:val="zh-CN"/>
        </w:rPr>
        <w:sectPr>
          <w:footerReference r:id="rId4" w:type="first"/>
          <w:footerReference r:id="rId3" w:type="default"/>
          <w:pgSz w:w="11905" w:h="16838"/>
          <w:pgMar w:top="1962" w:right="1474" w:bottom="1848" w:left="1587" w:header="850" w:footer="992" w:gutter="0"/>
          <w:cols w:space="0" w:num="1"/>
          <w:docGrid w:linePitch="286" w:charSpace="0"/>
        </w:sectPr>
      </w:pPr>
      <w:bookmarkStart w:id="1" w:name="_Toc503948055"/>
      <w:bookmarkStart w:id="2" w:name="_Toc518485112"/>
    </w:p>
    <w:p w14:paraId="2D92B29E">
      <w:pPr>
        <w:autoSpaceDE w:val="0"/>
        <w:autoSpaceDN w:val="0"/>
        <w:adjustRightInd w:val="0"/>
        <w:ind w:firstLine="723"/>
        <w:jc w:val="center"/>
        <w:outlineLvl w:val="0"/>
        <w:rPr>
          <w:rFonts w:ascii="黑体" w:hAnsi="黑体" w:eastAsia="黑体" w:cs="黑体"/>
          <w:color w:val="auto"/>
          <w:highlight w:val="none"/>
        </w:rPr>
      </w:pPr>
      <w:bookmarkStart w:id="3" w:name="_Toc19158"/>
      <w:bookmarkStart w:id="4" w:name="_Toc25455"/>
      <w:bookmarkStart w:id="5" w:name="_Toc30035"/>
      <w:r>
        <w:rPr>
          <w:rFonts w:hint="eastAsia" w:ascii="黑体" w:hAnsi="黑体" w:eastAsia="黑体" w:cs="黑体"/>
          <w:b/>
          <w:bCs/>
          <w:color w:val="auto"/>
          <w:kern w:val="44"/>
          <w:sz w:val="36"/>
          <w:szCs w:val="36"/>
          <w:highlight w:val="none"/>
          <w:lang w:val="zh-CN"/>
        </w:rPr>
        <w:t>第一章</w:t>
      </w:r>
      <w:r>
        <w:rPr>
          <w:rFonts w:hint="eastAsia" w:ascii="黑体" w:hAnsi="黑体" w:eastAsia="黑体" w:cs="黑体"/>
          <w:b/>
          <w:bCs/>
          <w:color w:val="auto"/>
          <w:kern w:val="44"/>
          <w:sz w:val="36"/>
          <w:szCs w:val="36"/>
          <w:highlight w:val="none"/>
        </w:rPr>
        <w:t xml:space="preserve"> </w:t>
      </w:r>
      <w:r>
        <w:rPr>
          <w:rFonts w:hint="eastAsia" w:ascii="黑体" w:hAnsi="黑体" w:eastAsia="黑体" w:cs="黑体"/>
          <w:b/>
          <w:bCs/>
          <w:color w:val="auto"/>
          <w:kern w:val="44"/>
          <w:sz w:val="36"/>
          <w:szCs w:val="36"/>
          <w:highlight w:val="none"/>
          <w:lang w:val="zh-CN"/>
        </w:rPr>
        <w:t>谈判</w:t>
      </w:r>
      <w:bookmarkEnd w:id="1"/>
      <w:bookmarkEnd w:id="2"/>
      <w:bookmarkEnd w:id="3"/>
      <w:r>
        <w:rPr>
          <w:rFonts w:hint="eastAsia" w:ascii="黑体" w:hAnsi="黑体" w:eastAsia="黑体" w:cs="黑体"/>
          <w:b/>
          <w:bCs/>
          <w:color w:val="auto"/>
          <w:kern w:val="44"/>
          <w:sz w:val="36"/>
          <w:szCs w:val="36"/>
          <w:highlight w:val="none"/>
        </w:rPr>
        <w:t>邀请</w:t>
      </w:r>
      <w:bookmarkEnd w:id="4"/>
      <w:bookmarkEnd w:id="5"/>
    </w:p>
    <w:p w14:paraId="5E285E26">
      <w:pPr>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项目概况</w:t>
      </w:r>
    </w:p>
    <w:p w14:paraId="08A3E26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中石化石油物探技术研究院有限公司物探院</w:t>
      </w:r>
      <w:r>
        <w:rPr>
          <w:rFonts w:hint="eastAsia" w:ascii="仿宋" w:hAnsi="仿宋" w:eastAsia="仿宋" w:cs="仿宋"/>
          <w:color w:val="auto"/>
          <w:sz w:val="24"/>
          <w:highlight w:val="none"/>
          <w:lang w:eastAsia="zh-CN"/>
        </w:rPr>
        <w:t>南广场场地改造</w:t>
      </w:r>
      <w:r>
        <w:rPr>
          <w:rFonts w:hint="eastAsia" w:ascii="仿宋" w:hAnsi="仿宋" w:eastAsia="仿宋" w:cs="仿宋"/>
          <w:color w:val="auto"/>
          <w:sz w:val="24"/>
          <w:highlight w:val="none"/>
        </w:rPr>
        <w:t>监理选商项目的潜在供应商应在线上获取采购文件，并于2026年</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27</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点00分（北京时间）前提交响应文件。</w:t>
      </w:r>
    </w:p>
    <w:p w14:paraId="2A1C5C60">
      <w:pPr>
        <w:spacing w:line="360" w:lineRule="auto"/>
        <w:ind w:firstLine="482" w:firstLineChars="200"/>
        <w:outlineLvl w:val="1"/>
        <w:rPr>
          <w:rFonts w:ascii="仿宋" w:hAnsi="仿宋" w:eastAsia="仿宋" w:cs="仿宋"/>
          <w:b/>
          <w:bCs/>
          <w:color w:val="auto"/>
          <w:sz w:val="24"/>
          <w:highlight w:val="none"/>
        </w:rPr>
      </w:pPr>
      <w:bookmarkStart w:id="6" w:name="_Toc35393629"/>
      <w:bookmarkStart w:id="7" w:name="_Toc28359012"/>
      <w:bookmarkStart w:id="8" w:name="_Toc28359089"/>
      <w:bookmarkStart w:id="9" w:name="_Toc35393798"/>
      <w:r>
        <w:rPr>
          <w:rFonts w:hint="eastAsia" w:ascii="仿宋" w:hAnsi="仿宋" w:eastAsia="仿宋" w:cs="仿宋"/>
          <w:b/>
          <w:bCs/>
          <w:color w:val="auto"/>
          <w:sz w:val="24"/>
          <w:highlight w:val="none"/>
        </w:rPr>
        <w:t>一、项目基本情况</w:t>
      </w:r>
      <w:bookmarkEnd w:id="6"/>
      <w:bookmarkEnd w:id="7"/>
      <w:bookmarkEnd w:id="8"/>
      <w:bookmarkEnd w:id="9"/>
    </w:p>
    <w:p w14:paraId="4CECE6D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项目名称：物探院</w:t>
      </w:r>
      <w:r>
        <w:rPr>
          <w:rFonts w:hint="eastAsia" w:ascii="仿宋" w:hAnsi="仿宋" w:eastAsia="仿宋" w:cs="仿宋"/>
          <w:color w:val="auto"/>
          <w:sz w:val="24"/>
          <w:highlight w:val="none"/>
          <w:lang w:eastAsia="zh-CN"/>
        </w:rPr>
        <w:t>南广场场地改造</w:t>
      </w:r>
      <w:r>
        <w:rPr>
          <w:rFonts w:hint="eastAsia" w:ascii="仿宋" w:hAnsi="仿宋" w:eastAsia="仿宋" w:cs="仿宋"/>
          <w:color w:val="auto"/>
          <w:sz w:val="24"/>
          <w:highlight w:val="none"/>
        </w:rPr>
        <w:t>监理选商</w:t>
      </w:r>
    </w:p>
    <w:p w14:paraId="52F086D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采购方式：竞争性谈判</w:t>
      </w:r>
    </w:p>
    <w:p w14:paraId="1D844B2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最高限价：</w:t>
      </w:r>
      <w:r>
        <w:rPr>
          <w:rFonts w:hint="eastAsia" w:ascii="仿宋" w:hAnsi="仿宋" w:eastAsia="仿宋" w:cs="仿宋"/>
          <w:color w:val="auto"/>
          <w:sz w:val="24"/>
          <w:highlight w:val="none"/>
          <w:lang w:val="en-US" w:eastAsia="zh-CN"/>
        </w:rPr>
        <w:t>16</w:t>
      </w:r>
      <w:r>
        <w:rPr>
          <w:rFonts w:hint="eastAsia" w:ascii="仿宋" w:hAnsi="仿宋" w:eastAsia="仿宋" w:cs="仿宋"/>
          <w:color w:val="auto"/>
          <w:sz w:val="24"/>
          <w:highlight w:val="none"/>
        </w:rPr>
        <w:t>万元(最终报价超过最高限价的为无效响应文件)</w:t>
      </w:r>
    </w:p>
    <w:p w14:paraId="0E01BE2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采购需求：具体详见竞争性谈判文件</w:t>
      </w:r>
    </w:p>
    <w:p w14:paraId="277716B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工    期：</w:t>
      </w:r>
      <w:r>
        <w:rPr>
          <w:rFonts w:hint="eastAsia" w:ascii="仿宋" w:hAnsi="仿宋" w:eastAsia="仿宋" w:cs="仿宋"/>
          <w:color w:val="auto"/>
          <w:sz w:val="24"/>
          <w:highlight w:val="none"/>
          <w:lang w:val="en-US" w:eastAsia="zh-CN"/>
        </w:rPr>
        <w:t>100</w:t>
      </w:r>
      <w:r>
        <w:rPr>
          <w:rFonts w:hint="eastAsia" w:ascii="仿宋" w:hAnsi="仿宋" w:eastAsia="仿宋" w:cs="仿宋"/>
          <w:color w:val="auto"/>
          <w:sz w:val="24"/>
          <w:highlight w:val="none"/>
        </w:rPr>
        <w:t>日历天</w:t>
      </w:r>
    </w:p>
    <w:p w14:paraId="3B540CB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本项目不接受联合体</w:t>
      </w:r>
    </w:p>
    <w:p w14:paraId="07D301BC">
      <w:pPr>
        <w:spacing w:line="360" w:lineRule="auto"/>
        <w:ind w:firstLine="482" w:firstLineChars="200"/>
        <w:outlineLvl w:val="1"/>
        <w:rPr>
          <w:rFonts w:ascii="仿宋" w:hAnsi="仿宋" w:eastAsia="仿宋" w:cs="仿宋"/>
          <w:b/>
          <w:bCs/>
          <w:color w:val="auto"/>
          <w:sz w:val="24"/>
          <w:highlight w:val="none"/>
        </w:rPr>
      </w:pPr>
      <w:bookmarkStart w:id="10" w:name="_Toc35393630"/>
      <w:bookmarkStart w:id="11" w:name="_Toc35393799"/>
      <w:bookmarkStart w:id="12" w:name="_Toc28359013"/>
      <w:bookmarkStart w:id="13" w:name="_Toc28359090"/>
      <w:r>
        <w:rPr>
          <w:rFonts w:hint="eastAsia" w:ascii="仿宋" w:hAnsi="仿宋" w:eastAsia="仿宋" w:cs="仿宋"/>
          <w:b/>
          <w:bCs/>
          <w:color w:val="auto"/>
          <w:sz w:val="24"/>
          <w:highlight w:val="none"/>
        </w:rPr>
        <w:t>二、申请人的资格要求</w:t>
      </w:r>
      <w:bookmarkEnd w:id="10"/>
      <w:bookmarkEnd w:id="11"/>
      <w:bookmarkEnd w:id="12"/>
      <w:bookmarkEnd w:id="13"/>
    </w:p>
    <w:p w14:paraId="1EE5A481">
      <w:pPr>
        <w:spacing w:line="360" w:lineRule="auto"/>
        <w:ind w:firstLine="480" w:firstLineChars="200"/>
        <w:outlineLvl w:val="2"/>
        <w:rPr>
          <w:rFonts w:ascii="仿宋" w:hAnsi="仿宋" w:eastAsia="仿宋" w:cs="仿宋"/>
          <w:color w:val="auto"/>
          <w:sz w:val="24"/>
          <w:highlight w:val="none"/>
        </w:rPr>
      </w:pPr>
      <w:r>
        <w:rPr>
          <w:rFonts w:hint="eastAsia" w:ascii="仿宋" w:hAnsi="仿宋" w:eastAsia="仿宋" w:cs="仿宋"/>
          <w:color w:val="auto"/>
          <w:sz w:val="24"/>
          <w:highlight w:val="none"/>
        </w:rPr>
        <w:t>1.参加采购活动的供应商应当具备下列条件，并按要求提供相应材料：</w:t>
      </w:r>
    </w:p>
    <w:p w14:paraId="21A447F5">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（1）供应商按照“三证合一”登记制度登记，证照有效。</w:t>
      </w:r>
    </w:p>
    <w:p w14:paraId="0D87E45B">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（2）具有良好的商业信誉和健全的财务会计制度，提供2023-2025年度经审计的财务决算报告（至少包括资产负债表、现金流量表和利润表）；</w:t>
      </w:r>
    </w:p>
    <w:p w14:paraId="0E90314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（3）有依法缴纳税收和缴纳社保的良好记录，提供近半年（2025年6月-2025年12月）的依法缴纳税收和缴纳社保的相关材料；</w:t>
      </w:r>
    </w:p>
    <w:p w14:paraId="2F3D77B3">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响应截止日供应商未被工商行政管理机关在国家企业信用信息公示系统列入严重违法失信企业名单；且未被“信用中国”网站列入失信被执行人名单；供应商提供相关系统截图等证明材料并提供由法定代表人或授权代表签署并加盖公章的承诺书。</w:t>
      </w:r>
    </w:p>
    <w:p w14:paraId="37F8912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（5）供应商未处于被中国石化给予风险停用、违约停用处理期内；须提供由法定代表人或授权代表签署并加盖公章的承诺书。</w:t>
      </w:r>
    </w:p>
    <w:p w14:paraId="009520EF">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（6）供应商近两年内没有发生重大安全责任事故。须提供由法定代表人或授权代表签署并加盖公章的承诺书。</w:t>
      </w:r>
    </w:p>
    <w:p w14:paraId="0C9CF97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供应商不存在被责令停产停业、暂扣或者吊销许可证、暂扣或者吊销执照；不存在进入清算程序，或者被宣告破产，或者其他丧失履约能力的情形。须提供由法定代表人或授权代表签署并加盖公章的承诺书。</w:t>
      </w:r>
    </w:p>
    <w:p w14:paraId="361FDEE0">
      <w:pPr>
        <w:spacing w:line="360" w:lineRule="auto"/>
        <w:ind w:firstLine="480" w:firstLineChars="200"/>
        <w:outlineLvl w:val="2"/>
        <w:rPr>
          <w:rFonts w:ascii="仿宋" w:hAnsi="仿宋" w:eastAsia="仿宋" w:cs="仿宋"/>
          <w:color w:val="auto"/>
          <w:sz w:val="24"/>
          <w:highlight w:val="none"/>
        </w:rPr>
      </w:pPr>
      <w:bookmarkStart w:id="14" w:name="_Toc28359091"/>
      <w:bookmarkStart w:id="15" w:name="_Toc28359014"/>
      <w:r>
        <w:rPr>
          <w:rFonts w:hint="eastAsia" w:ascii="仿宋" w:hAnsi="仿宋" w:eastAsia="仿宋" w:cs="仿宋"/>
          <w:color w:val="auto"/>
          <w:sz w:val="24"/>
          <w:highlight w:val="none"/>
        </w:rPr>
        <w:t>2.本项目的特定资格要求：</w:t>
      </w:r>
    </w:p>
    <w:p w14:paraId="200F7105">
      <w:pPr>
        <w:spacing w:line="360" w:lineRule="auto"/>
        <w:ind w:firstLine="480" w:firstLineChars="200"/>
        <w:rPr>
          <w:rFonts w:hint="eastAsia" w:ascii="仿宋" w:hAnsi="仿宋" w:eastAsia="仿宋" w:cs="仿宋"/>
          <w:strike w:val="0"/>
          <w:dstrike w:val="0"/>
          <w:color w:val="auto"/>
          <w:sz w:val="24"/>
          <w:highlight w:val="none"/>
        </w:rPr>
      </w:pPr>
      <w:bookmarkStart w:id="16" w:name="_Toc35393631"/>
      <w:bookmarkStart w:id="17" w:name="_Toc35393800"/>
      <w:r>
        <w:rPr>
          <w:rFonts w:hint="eastAsia" w:ascii="仿宋" w:hAnsi="仿宋" w:eastAsia="仿宋" w:cs="仿宋"/>
          <w:color w:val="auto"/>
          <w:sz w:val="24"/>
          <w:highlight w:val="none"/>
        </w:rPr>
        <w:t>供应商须具备建设行政主管理部门颁发的工程监理市政公用工程专业乙级或房屋建筑工程专业乙级及以上，为本项目配备总监理工程师（持有国家注册监理工程师证书（注册专业为市政公用工程专业））、所学专业分别为道路、园林绿化、给排水、机电安装方向专业监理工程师、监理员。提供有效的单位资质证书、人员注册证书、毕业证书、培训证书等复印件加盖投标人公章。</w:t>
      </w:r>
    </w:p>
    <w:p w14:paraId="5BCA4846">
      <w:pPr>
        <w:spacing w:line="360" w:lineRule="auto"/>
        <w:ind w:firstLine="482" w:firstLineChars="200"/>
        <w:outlineLvl w:val="1"/>
        <w:rPr>
          <w:rFonts w:ascii="仿宋" w:hAnsi="仿宋" w:eastAsia="仿宋" w:cs="仿宋"/>
          <w:b/>
          <w:bCs/>
          <w:color w:val="auto"/>
          <w:sz w:val="24"/>
          <w:highlight w:val="none"/>
        </w:rPr>
      </w:pPr>
      <w:r>
        <w:rPr>
          <w:rFonts w:hint="eastAsia" w:ascii="仿宋" w:hAnsi="仿宋" w:eastAsia="仿宋" w:cs="仿宋"/>
          <w:b/>
          <w:bCs/>
          <w:color w:val="auto"/>
          <w:sz w:val="24"/>
          <w:highlight w:val="none"/>
        </w:rPr>
        <w:t>三、获取采购文件</w:t>
      </w:r>
      <w:bookmarkEnd w:id="14"/>
      <w:bookmarkEnd w:id="15"/>
      <w:bookmarkEnd w:id="16"/>
      <w:bookmarkEnd w:id="17"/>
    </w:p>
    <w:p w14:paraId="27CF691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方式：线上获取，请于2026年</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日17时00分前，以书面形式确认参加，并请将盖章后书面形式“确认通知”以PDF彩色扫描件形式反馈至邮箱。在本公告规定的时刻内未表示参加谈判的，后续不得再参加谈判。</w:t>
      </w:r>
    </w:p>
    <w:p w14:paraId="6C043E03">
      <w:pPr>
        <w:spacing w:line="360" w:lineRule="auto"/>
        <w:ind w:firstLine="482" w:firstLineChars="200"/>
        <w:outlineLvl w:val="1"/>
        <w:rPr>
          <w:rFonts w:ascii="仿宋" w:hAnsi="仿宋" w:eastAsia="仿宋" w:cs="仿宋"/>
          <w:b/>
          <w:bCs/>
          <w:color w:val="auto"/>
          <w:sz w:val="24"/>
          <w:highlight w:val="none"/>
        </w:rPr>
      </w:pPr>
      <w:bookmarkStart w:id="18" w:name="_Toc35393801"/>
      <w:bookmarkStart w:id="19" w:name="_Toc28359092"/>
      <w:bookmarkStart w:id="20" w:name="_Toc28359015"/>
      <w:bookmarkStart w:id="21" w:name="_Toc35393632"/>
      <w:r>
        <w:rPr>
          <w:rFonts w:hint="eastAsia" w:ascii="仿宋" w:hAnsi="仿宋" w:eastAsia="仿宋" w:cs="仿宋"/>
          <w:b/>
          <w:bCs/>
          <w:color w:val="auto"/>
          <w:sz w:val="24"/>
          <w:highlight w:val="none"/>
        </w:rPr>
        <w:t>四、响应文件提交</w:t>
      </w:r>
      <w:bookmarkEnd w:id="18"/>
      <w:bookmarkEnd w:id="19"/>
      <w:bookmarkEnd w:id="20"/>
      <w:bookmarkEnd w:id="21"/>
    </w:p>
    <w:p w14:paraId="205B719D">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响应文件须在截止时间前邮寄或送达至需求方处，否则将按放弃参与商务谈判处理。</w:t>
      </w:r>
    </w:p>
    <w:p w14:paraId="058E6D2D">
      <w:pPr>
        <w:spacing w:line="360" w:lineRule="auto"/>
        <w:ind w:firstLine="480" w:firstLineChars="200"/>
        <w:rPr>
          <w:rFonts w:ascii="仿宋" w:hAnsi="仿宋" w:eastAsia="仿宋" w:cs="仿宋"/>
          <w:bCs/>
          <w:color w:val="auto"/>
          <w:sz w:val="24"/>
          <w:highlight w:val="none"/>
          <w:u w:val="single"/>
        </w:rPr>
      </w:pPr>
      <w:r>
        <w:rPr>
          <w:rFonts w:hint="eastAsia" w:ascii="仿宋" w:hAnsi="仿宋" w:eastAsia="仿宋" w:cs="仿宋"/>
          <w:color w:val="auto"/>
          <w:sz w:val="24"/>
          <w:highlight w:val="none"/>
        </w:rPr>
        <w:t>截止时间：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点00分</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（北京时间）</w:t>
      </w:r>
    </w:p>
    <w:p w14:paraId="487147E3">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地    点：</w:t>
      </w:r>
      <w:r>
        <w:rPr>
          <w:rFonts w:hint="eastAsia" w:ascii="仿宋" w:hAnsi="仿宋" w:eastAsia="仿宋" w:cs="仿宋"/>
          <w:color w:val="auto"/>
          <w:sz w:val="24"/>
          <w:highlight w:val="none"/>
          <w:u w:val="single"/>
        </w:rPr>
        <w:t>南京市江宁区东山街道上高路219号</w:t>
      </w:r>
    </w:p>
    <w:p w14:paraId="1E7FA4BC">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联 系 人：</w:t>
      </w:r>
      <w:r>
        <w:rPr>
          <w:rFonts w:hint="eastAsia" w:ascii="仿宋" w:hAnsi="仿宋" w:eastAsia="仿宋" w:cs="仿宋"/>
          <w:color w:val="auto"/>
          <w:sz w:val="24"/>
          <w:highlight w:val="none"/>
          <w:u w:val="single"/>
        </w:rPr>
        <w:t xml:space="preserve">周创                            </w:t>
      </w:r>
    </w:p>
    <w:p w14:paraId="644A8847">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联系电话：</w:t>
      </w:r>
      <w:bookmarkStart w:id="22" w:name="OLE_LINK4"/>
      <w:r>
        <w:rPr>
          <w:rFonts w:hint="eastAsia" w:ascii="仿宋" w:hAnsi="仿宋" w:eastAsia="仿宋" w:cs="仿宋"/>
          <w:color w:val="auto"/>
          <w:sz w:val="24"/>
          <w:highlight w:val="none"/>
          <w:u w:val="single"/>
        </w:rPr>
        <w:t>025-68109</w:t>
      </w:r>
      <w:r>
        <w:rPr>
          <w:rFonts w:ascii="仿宋" w:hAnsi="仿宋" w:eastAsia="仿宋" w:cs="仿宋"/>
          <w:color w:val="auto"/>
          <w:sz w:val="24"/>
          <w:highlight w:val="none"/>
          <w:u w:val="single"/>
        </w:rPr>
        <w:t>658</w:t>
      </w:r>
      <w:r>
        <w:rPr>
          <w:rFonts w:hint="eastAsia" w:ascii="仿宋" w:hAnsi="仿宋" w:eastAsia="仿宋" w:cs="仿宋"/>
          <w:color w:val="auto"/>
          <w:sz w:val="24"/>
          <w:highlight w:val="none"/>
          <w:u w:val="single"/>
        </w:rPr>
        <w:t>，</w:t>
      </w:r>
      <w:r>
        <w:rPr>
          <w:rFonts w:ascii="仿宋" w:hAnsi="仿宋" w:eastAsia="仿宋" w:cs="仿宋"/>
          <w:color w:val="auto"/>
          <w:sz w:val="24"/>
          <w:highlight w:val="none"/>
          <w:u w:val="single"/>
        </w:rPr>
        <w:t>18936002536</w:t>
      </w:r>
      <w:bookmarkEnd w:id="22"/>
      <w:r>
        <w:rPr>
          <w:rFonts w:hint="eastAsia" w:ascii="仿宋" w:hAnsi="仿宋" w:eastAsia="仿宋" w:cs="仿宋"/>
          <w:color w:val="auto"/>
          <w:sz w:val="24"/>
          <w:highlight w:val="none"/>
          <w:u w:val="single"/>
        </w:rPr>
        <w:t xml:space="preserve">       </w:t>
      </w:r>
    </w:p>
    <w:p w14:paraId="4939B939">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电子邮箱：</w:t>
      </w:r>
      <w:r>
        <w:rPr>
          <w:rFonts w:hint="eastAsia" w:ascii="仿宋" w:hAnsi="仿宋" w:eastAsia="仿宋" w:cs="仿宋"/>
          <w:color w:val="auto"/>
          <w:sz w:val="24"/>
          <w:highlight w:val="none"/>
          <w:u w:val="single"/>
        </w:rPr>
        <w:t>zhou</w:t>
      </w:r>
      <w:r>
        <w:rPr>
          <w:rFonts w:ascii="仿宋" w:hAnsi="仿宋" w:eastAsia="仿宋" w:cs="仿宋"/>
          <w:color w:val="auto"/>
          <w:sz w:val="24"/>
          <w:highlight w:val="none"/>
          <w:u w:val="single"/>
        </w:rPr>
        <w:t>ch</w:t>
      </w:r>
      <w:r>
        <w:rPr>
          <w:rFonts w:hint="eastAsia" w:ascii="仿宋" w:hAnsi="仿宋" w:eastAsia="仿宋" w:cs="仿宋"/>
          <w:color w:val="auto"/>
          <w:sz w:val="24"/>
          <w:highlight w:val="none"/>
          <w:u w:val="single"/>
        </w:rPr>
        <w:t xml:space="preserve">.swty@sinopec.com          </w:t>
      </w:r>
    </w:p>
    <w:p w14:paraId="36B1A1DD">
      <w:pPr>
        <w:spacing w:line="360" w:lineRule="auto"/>
        <w:ind w:firstLine="482" w:firstLineChars="200"/>
        <w:outlineLvl w:val="1"/>
        <w:rPr>
          <w:rFonts w:ascii="仿宋" w:hAnsi="仿宋" w:eastAsia="仿宋" w:cs="仿宋"/>
          <w:b/>
          <w:bCs/>
          <w:color w:val="auto"/>
          <w:sz w:val="24"/>
          <w:highlight w:val="none"/>
        </w:rPr>
      </w:pPr>
      <w:bookmarkStart w:id="23" w:name="_Toc28359016"/>
      <w:bookmarkStart w:id="24" w:name="_Toc35393802"/>
      <w:bookmarkStart w:id="25" w:name="_Toc35393633"/>
      <w:bookmarkStart w:id="26" w:name="_Toc28359093"/>
      <w:r>
        <w:rPr>
          <w:rFonts w:hint="eastAsia" w:ascii="仿宋" w:hAnsi="仿宋" w:eastAsia="仿宋" w:cs="仿宋"/>
          <w:b/>
          <w:bCs/>
          <w:color w:val="auto"/>
          <w:sz w:val="24"/>
          <w:highlight w:val="none"/>
        </w:rPr>
        <w:t>五、开启</w:t>
      </w:r>
      <w:bookmarkEnd w:id="23"/>
      <w:bookmarkEnd w:id="24"/>
      <w:bookmarkEnd w:id="25"/>
      <w:bookmarkEnd w:id="26"/>
    </w:p>
    <w:p w14:paraId="6BC2C773">
      <w:pPr>
        <w:spacing w:line="360" w:lineRule="auto"/>
        <w:ind w:firstLine="480" w:firstLineChars="200"/>
        <w:rPr>
          <w:rFonts w:ascii="仿宋" w:hAnsi="仿宋" w:eastAsia="仿宋" w:cs="仿宋"/>
          <w:bCs/>
          <w:color w:val="auto"/>
          <w:sz w:val="24"/>
          <w:highlight w:val="none"/>
          <w:u w:val="singl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点00分</w:t>
      </w:r>
      <w:r>
        <w:rPr>
          <w:rFonts w:hint="eastAsia" w:ascii="仿宋" w:hAnsi="仿宋" w:eastAsia="仿宋" w:cs="仿宋"/>
          <w:bCs/>
          <w:color w:val="auto"/>
          <w:sz w:val="24"/>
          <w:highlight w:val="none"/>
        </w:rPr>
        <w:t>（北京时间）</w:t>
      </w:r>
    </w:p>
    <w:p w14:paraId="2A10F7ED">
      <w:pPr>
        <w:spacing w:line="360" w:lineRule="auto"/>
        <w:ind w:firstLine="480" w:firstLineChars="200"/>
        <w:rPr>
          <w:rFonts w:ascii="仿宋" w:hAnsi="仿宋" w:eastAsia="仿宋" w:cs="仿宋"/>
          <w:bCs/>
          <w:color w:val="auto"/>
          <w:sz w:val="24"/>
          <w:highlight w:val="none"/>
          <w:u w:val="single"/>
        </w:rPr>
      </w:pP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南京市江宁区东山街道上高路219号</w:t>
      </w:r>
    </w:p>
    <w:p w14:paraId="65B1F330">
      <w:pPr>
        <w:spacing w:line="360" w:lineRule="auto"/>
        <w:ind w:firstLine="482" w:firstLineChars="200"/>
        <w:outlineLvl w:val="1"/>
        <w:rPr>
          <w:rFonts w:ascii="仿宋" w:hAnsi="仿宋" w:eastAsia="仿宋" w:cs="仿宋"/>
          <w:b/>
          <w:bCs/>
          <w:color w:val="auto"/>
          <w:sz w:val="24"/>
          <w:highlight w:val="none"/>
        </w:rPr>
      </w:pPr>
      <w:bookmarkStart w:id="27" w:name="_Toc28359017"/>
      <w:bookmarkStart w:id="28" w:name="_Toc28359094"/>
      <w:bookmarkStart w:id="29" w:name="_Toc35393803"/>
      <w:bookmarkStart w:id="30" w:name="_Toc35393634"/>
      <w:r>
        <w:rPr>
          <w:rFonts w:hint="eastAsia" w:ascii="仿宋" w:hAnsi="仿宋" w:eastAsia="仿宋" w:cs="仿宋"/>
          <w:b/>
          <w:bCs/>
          <w:color w:val="auto"/>
          <w:sz w:val="24"/>
          <w:highlight w:val="none"/>
        </w:rPr>
        <w:t>六、期限</w:t>
      </w:r>
      <w:bookmarkEnd w:id="27"/>
      <w:bookmarkEnd w:id="28"/>
      <w:bookmarkEnd w:id="29"/>
      <w:bookmarkEnd w:id="30"/>
    </w:p>
    <w:p w14:paraId="30DA2D9C">
      <w:pP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自本谈判邀请发送之日起3个工作日。</w:t>
      </w:r>
    </w:p>
    <w:p w14:paraId="09DF289D">
      <w:pPr>
        <w:spacing w:line="360" w:lineRule="auto"/>
        <w:ind w:firstLine="482" w:firstLineChars="200"/>
        <w:outlineLvl w:val="1"/>
        <w:rPr>
          <w:rFonts w:ascii="仿宋" w:hAnsi="仿宋" w:eastAsia="仿宋" w:cs="仿宋"/>
          <w:b/>
          <w:bCs/>
          <w:color w:val="auto"/>
          <w:sz w:val="24"/>
          <w:highlight w:val="none"/>
        </w:rPr>
      </w:pPr>
      <w:bookmarkStart w:id="31" w:name="_Toc35393804"/>
      <w:bookmarkStart w:id="32" w:name="_Toc35393635"/>
      <w:r>
        <w:rPr>
          <w:rFonts w:hint="eastAsia" w:ascii="仿宋" w:hAnsi="仿宋" w:eastAsia="仿宋" w:cs="仿宋"/>
          <w:b/>
          <w:bCs/>
          <w:color w:val="auto"/>
          <w:sz w:val="24"/>
          <w:highlight w:val="none"/>
        </w:rPr>
        <w:t>七、其他补充事宜</w:t>
      </w:r>
      <w:bookmarkEnd w:id="31"/>
      <w:bookmarkEnd w:id="32"/>
    </w:p>
    <w:p w14:paraId="42CA9E50">
      <w:pPr>
        <w:spacing w:line="360" w:lineRule="auto"/>
        <w:ind w:firstLine="480" w:firstLineChars="200"/>
        <w:outlineLvl w:val="2"/>
        <w:rPr>
          <w:rFonts w:ascii="仿宋" w:hAnsi="仿宋" w:eastAsia="仿宋" w:cs="仿宋"/>
          <w:color w:val="auto"/>
          <w:sz w:val="24"/>
          <w:highlight w:val="none"/>
        </w:rPr>
      </w:pPr>
      <w:r>
        <w:rPr>
          <w:rFonts w:hint="eastAsia" w:ascii="仿宋" w:hAnsi="仿宋" w:eastAsia="仿宋" w:cs="仿宋"/>
          <w:color w:val="auto"/>
          <w:sz w:val="24"/>
          <w:highlight w:val="none"/>
        </w:rPr>
        <w:t>1.拒绝下述供应商参加本次采购活动</w:t>
      </w:r>
    </w:p>
    <w:p w14:paraId="1FB23A2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（1）供应商单位负责人为同一人或者存在直接控股、管理关系的不同供应商，不得参加同一合同项下的采购活动。</w:t>
      </w:r>
    </w:p>
    <w:p w14:paraId="3C71B30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（2）拒绝列入失信被执行人、重大税收违法案件当事人名单中的供应商参加本项目的采购活动。</w:t>
      </w:r>
    </w:p>
    <w:p w14:paraId="602F0309">
      <w:pPr>
        <w:spacing w:line="360" w:lineRule="auto"/>
        <w:ind w:firstLine="480" w:firstLineChars="200"/>
        <w:outlineLvl w:val="2"/>
        <w:rPr>
          <w:rFonts w:ascii="仿宋" w:hAnsi="仿宋" w:eastAsia="仿宋" w:cs="仿宋"/>
          <w:color w:val="auto"/>
          <w:sz w:val="24"/>
          <w:highlight w:val="none"/>
        </w:rPr>
      </w:pPr>
      <w:r>
        <w:rPr>
          <w:rFonts w:hint="eastAsia" w:ascii="仿宋" w:hAnsi="仿宋" w:eastAsia="仿宋" w:cs="仿宋"/>
          <w:color w:val="auto"/>
          <w:sz w:val="24"/>
          <w:highlight w:val="none"/>
        </w:rPr>
        <w:t>2.现场勘察</w:t>
      </w:r>
    </w:p>
    <w:p w14:paraId="00669318">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highlight w:val="none"/>
        </w:rPr>
        <w:t>确认参加谈判的供应商可预约进行现场勘察，</w:t>
      </w:r>
      <w:r>
        <w:rPr>
          <w:rFonts w:hint="eastAsia" w:ascii="仿宋" w:hAnsi="仿宋" w:eastAsia="仿宋" w:cs="仿宋"/>
          <w:color w:val="auto"/>
          <w:sz w:val="24"/>
          <w:szCs w:val="28"/>
          <w:highlight w:val="none"/>
        </w:rPr>
        <w:t>现场勘察时间地点及相关要求如下：</w:t>
      </w:r>
    </w:p>
    <w:p w14:paraId="6C3DEF4D">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（1）现场勘察时间：自公告发布日起至2026年</w:t>
      </w:r>
      <w:r>
        <w:rPr>
          <w:rFonts w:hint="eastAsia" w:ascii="仿宋" w:hAnsi="仿宋" w:eastAsia="仿宋" w:cs="仿宋"/>
          <w:color w:val="auto"/>
          <w:sz w:val="24"/>
          <w:szCs w:val="28"/>
          <w:highlight w:val="none"/>
          <w:lang w:val="en-US" w:eastAsia="zh-CN"/>
        </w:rPr>
        <w:t>7</w:t>
      </w:r>
      <w:r>
        <w:rPr>
          <w:rFonts w:hint="eastAsia" w:ascii="仿宋" w:hAnsi="仿宋" w:eastAsia="仿宋" w:cs="仿宋"/>
          <w:color w:val="auto"/>
          <w:sz w:val="24"/>
          <w:szCs w:val="28"/>
          <w:highlight w:val="none"/>
        </w:rPr>
        <w:t>月</w:t>
      </w:r>
      <w:r>
        <w:rPr>
          <w:rFonts w:hint="eastAsia" w:ascii="仿宋" w:hAnsi="仿宋" w:eastAsia="仿宋" w:cs="仿宋"/>
          <w:color w:val="auto"/>
          <w:sz w:val="24"/>
          <w:szCs w:val="28"/>
          <w:highlight w:val="none"/>
          <w:lang w:val="en-US" w:eastAsia="zh-CN"/>
        </w:rPr>
        <w:t>24</w:t>
      </w:r>
      <w:r>
        <w:rPr>
          <w:rFonts w:hint="eastAsia" w:ascii="仿宋" w:hAnsi="仿宋" w:eastAsia="仿宋" w:cs="仿宋"/>
          <w:color w:val="auto"/>
          <w:sz w:val="24"/>
          <w:szCs w:val="28"/>
          <w:highlight w:val="none"/>
        </w:rPr>
        <w:t>日，工作日9：00-17:00</w:t>
      </w:r>
    </w:p>
    <w:p w14:paraId="1928686D">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（2）勘察地点：江苏省南京市上高路219号中石化石油物探技术研究院有限公司；</w:t>
      </w:r>
    </w:p>
    <w:p w14:paraId="7D5429B1">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（3）现场联系人：</w:t>
      </w:r>
      <w:r>
        <w:rPr>
          <w:rFonts w:hint="eastAsia" w:ascii="仿宋" w:hAnsi="仿宋" w:eastAsia="仿宋" w:cs="仿宋"/>
          <w:color w:val="auto"/>
          <w:sz w:val="24"/>
          <w:szCs w:val="28"/>
          <w:highlight w:val="none"/>
          <w:u w:val="single"/>
          <w:lang w:val="en-US" w:eastAsia="zh-CN"/>
        </w:rPr>
        <w:t>李潇</w:t>
      </w:r>
      <w:r>
        <w:rPr>
          <w:rFonts w:hint="eastAsia" w:ascii="仿宋" w:hAnsi="仿宋" w:eastAsia="仿宋" w:cs="仿宋"/>
          <w:color w:val="auto"/>
          <w:sz w:val="24"/>
          <w:szCs w:val="28"/>
          <w:highlight w:val="none"/>
        </w:rPr>
        <w:t>，联系电话：</w:t>
      </w:r>
      <w:r>
        <w:rPr>
          <w:rFonts w:hint="eastAsia" w:ascii="仿宋" w:hAnsi="仿宋" w:eastAsia="仿宋" w:cs="仿宋"/>
          <w:color w:val="auto"/>
          <w:sz w:val="24"/>
          <w:szCs w:val="28"/>
          <w:highlight w:val="none"/>
          <w:u w:val="single"/>
        </w:rPr>
        <w:t>025-</w:t>
      </w:r>
      <w:r>
        <w:rPr>
          <w:rFonts w:hint="eastAsia" w:ascii="仿宋" w:hAnsi="仿宋" w:eastAsia="仿宋" w:cs="仿宋"/>
          <w:color w:val="auto"/>
          <w:sz w:val="24"/>
          <w:highlight w:val="none"/>
          <w:u w:val="single"/>
        </w:rPr>
        <w:t>6810</w:t>
      </w:r>
      <w:r>
        <w:rPr>
          <w:rFonts w:hint="eastAsia" w:ascii="仿宋" w:hAnsi="仿宋" w:eastAsia="仿宋" w:cs="仿宋"/>
          <w:color w:val="auto"/>
          <w:sz w:val="24"/>
          <w:highlight w:val="none"/>
          <w:u w:val="single"/>
          <w:lang w:val="en-US" w:eastAsia="zh-CN"/>
        </w:rPr>
        <w:t>9955</w:t>
      </w:r>
      <w:r>
        <w:rPr>
          <w:rFonts w:hint="eastAsia" w:ascii="仿宋" w:hAnsi="仿宋" w:eastAsia="仿宋" w:cs="仿宋"/>
          <w:color w:val="auto"/>
          <w:sz w:val="24"/>
          <w:szCs w:val="28"/>
          <w:highlight w:val="none"/>
          <w:u w:val="single"/>
        </w:rPr>
        <w:t>，</w:t>
      </w:r>
      <w:r>
        <w:rPr>
          <w:rFonts w:hint="eastAsia" w:ascii="仿宋" w:hAnsi="仿宋" w:eastAsia="仿宋" w:cs="仿宋"/>
          <w:color w:val="auto"/>
          <w:sz w:val="24"/>
          <w:highlight w:val="none"/>
          <w:u w:val="single"/>
        </w:rPr>
        <w:t>13236401731</w:t>
      </w:r>
      <w:r>
        <w:rPr>
          <w:rFonts w:hint="eastAsia" w:ascii="仿宋" w:hAnsi="仿宋" w:eastAsia="仿宋" w:cs="仿宋"/>
          <w:color w:val="auto"/>
          <w:sz w:val="24"/>
          <w:szCs w:val="28"/>
          <w:highlight w:val="none"/>
        </w:rPr>
        <w:t>；</w:t>
      </w:r>
    </w:p>
    <w:p w14:paraId="63344CF0">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（4）踏勘过程中确保潜在供应商信息的保密，不集体签到、不要求潜在供应商介绍单位情况等，不得出现其他可能泄露潜在供应商名单及联系方式的情况。</w:t>
      </w:r>
    </w:p>
    <w:p w14:paraId="431D3E3B">
      <w:pPr>
        <w:spacing w:line="360" w:lineRule="auto"/>
        <w:ind w:firstLine="482" w:firstLineChars="200"/>
        <w:outlineLvl w:val="1"/>
        <w:rPr>
          <w:rFonts w:ascii="仿宋" w:hAnsi="仿宋" w:eastAsia="仿宋" w:cs="仿宋"/>
          <w:b/>
          <w:bCs/>
          <w:color w:val="auto"/>
          <w:sz w:val="24"/>
          <w:highlight w:val="none"/>
        </w:rPr>
      </w:pPr>
      <w:bookmarkStart w:id="33" w:name="_Toc28359018"/>
      <w:bookmarkStart w:id="34" w:name="_Toc35393636"/>
      <w:bookmarkStart w:id="35" w:name="_Toc28359095"/>
      <w:bookmarkStart w:id="36" w:name="_Toc35393805"/>
      <w:r>
        <w:rPr>
          <w:rFonts w:hint="eastAsia" w:ascii="仿宋" w:hAnsi="仿宋" w:eastAsia="仿宋" w:cs="仿宋"/>
          <w:b/>
          <w:bCs/>
          <w:color w:val="auto"/>
          <w:sz w:val="24"/>
          <w:highlight w:val="none"/>
        </w:rPr>
        <w:t>八、凡对本次采购提出询问，请按以下方式联系。</w:t>
      </w:r>
      <w:bookmarkEnd w:id="33"/>
      <w:bookmarkEnd w:id="34"/>
      <w:bookmarkEnd w:id="35"/>
      <w:bookmarkEnd w:id="36"/>
    </w:p>
    <w:p w14:paraId="42800FDF">
      <w:pPr>
        <w:spacing w:line="360" w:lineRule="auto"/>
        <w:ind w:firstLine="480" w:firstLineChars="200"/>
        <w:outlineLvl w:val="2"/>
        <w:rPr>
          <w:rFonts w:ascii="仿宋" w:hAnsi="仿宋" w:eastAsia="仿宋" w:cs="仿宋"/>
          <w:color w:val="auto"/>
          <w:sz w:val="24"/>
          <w:highlight w:val="none"/>
        </w:rPr>
      </w:pPr>
      <w:bookmarkStart w:id="37" w:name="_Toc28359019"/>
      <w:bookmarkStart w:id="38" w:name="_Toc35393806"/>
      <w:bookmarkStart w:id="39" w:name="_Toc35393637"/>
      <w:bookmarkStart w:id="40" w:name="_Toc28359096"/>
      <w:r>
        <w:rPr>
          <w:rFonts w:hint="eastAsia" w:ascii="仿宋" w:hAnsi="仿宋" w:eastAsia="仿宋" w:cs="仿宋"/>
          <w:color w:val="auto"/>
          <w:sz w:val="24"/>
          <w:highlight w:val="none"/>
        </w:rPr>
        <w:t>1.项目负责人信息</w:t>
      </w:r>
      <w:bookmarkEnd w:id="37"/>
      <w:bookmarkEnd w:id="38"/>
      <w:bookmarkEnd w:id="39"/>
      <w:bookmarkEnd w:id="40"/>
    </w:p>
    <w:p w14:paraId="316B1A82">
      <w:pPr>
        <w:spacing w:line="360" w:lineRule="auto"/>
        <w:ind w:firstLine="480" w:firstLineChars="200"/>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u w:val="single"/>
        </w:rPr>
        <w:t>中石化石油物探技术研究院有限公司</w:t>
      </w:r>
    </w:p>
    <w:p w14:paraId="43235601">
      <w:pPr>
        <w:spacing w:line="360" w:lineRule="auto"/>
        <w:ind w:firstLine="480" w:firstLineChars="200"/>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南京市江宁区东山街道上高路219号</w:t>
      </w:r>
    </w:p>
    <w:p w14:paraId="6F28A204">
      <w:pPr>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联 系 人：</w:t>
      </w:r>
      <w:r>
        <w:rPr>
          <w:rFonts w:hint="eastAsia" w:ascii="仿宋" w:hAnsi="仿宋" w:eastAsia="仿宋" w:cs="仿宋"/>
          <w:color w:val="auto"/>
          <w:sz w:val="24"/>
          <w:highlight w:val="none"/>
          <w:u w:val="single"/>
          <w:lang w:val="en-US" w:eastAsia="zh-CN"/>
        </w:rPr>
        <w:t>袁晖</w:t>
      </w:r>
      <w:r>
        <w:rPr>
          <w:rFonts w:hint="eastAsia" w:ascii="仿宋" w:hAnsi="仿宋" w:eastAsia="仿宋" w:cs="仿宋"/>
          <w:color w:val="auto"/>
          <w:sz w:val="24"/>
          <w:highlight w:val="none"/>
          <w:u w:val="single"/>
        </w:rPr>
        <w:t xml:space="preserve">                          </w:t>
      </w:r>
    </w:p>
    <w:p w14:paraId="14A6786F">
      <w:pPr>
        <w:spacing w:line="360" w:lineRule="auto"/>
        <w:ind w:firstLine="480" w:firstLineChars="200"/>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025-6810</w:t>
      </w:r>
      <w:r>
        <w:rPr>
          <w:rFonts w:hint="eastAsia" w:ascii="仿宋" w:hAnsi="仿宋" w:eastAsia="仿宋" w:cs="仿宋"/>
          <w:color w:val="auto"/>
          <w:sz w:val="24"/>
          <w:highlight w:val="none"/>
          <w:u w:val="single"/>
          <w:lang w:val="en-US" w:eastAsia="zh-CN"/>
        </w:rPr>
        <w:t>9927</w:t>
      </w:r>
      <w:r>
        <w:rPr>
          <w:rFonts w:hint="eastAsia" w:ascii="仿宋" w:hAnsi="仿宋" w:eastAsia="仿宋" w:cs="仿宋"/>
          <w:color w:val="auto"/>
          <w:sz w:val="24"/>
          <w:highlight w:val="none"/>
          <w:u w:val="single"/>
        </w:rPr>
        <w:t xml:space="preserve">，13851763196       </w:t>
      </w:r>
    </w:p>
    <w:p w14:paraId="228D0D7E">
      <w:pPr>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电子邮箱：</w:t>
      </w:r>
      <w:r>
        <w:rPr>
          <w:rFonts w:hint="eastAsia" w:ascii="仿宋" w:hAnsi="仿宋" w:eastAsia="仿宋" w:cs="仿宋"/>
          <w:color w:val="auto"/>
          <w:sz w:val="24"/>
          <w:highlight w:val="none"/>
          <w:u w:val="single"/>
        </w:rPr>
        <w:t xml:space="preserve">yuanhui.swty@sinopec.com        </w:t>
      </w:r>
    </w:p>
    <w:p w14:paraId="2C74E237">
      <w:pPr>
        <w:spacing w:line="360" w:lineRule="auto"/>
        <w:ind w:firstLine="480" w:firstLineChars="200"/>
        <w:jc w:val="left"/>
        <w:rPr>
          <w:rFonts w:ascii="仿宋" w:hAnsi="仿宋" w:eastAsia="仿宋" w:cs="仿宋"/>
          <w:color w:val="auto"/>
          <w:sz w:val="24"/>
          <w:highlight w:val="none"/>
          <w:u w:val="single"/>
        </w:rPr>
      </w:pPr>
    </w:p>
    <w:p w14:paraId="07EE79B6">
      <w:pPr>
        <w:spacing w:line="360" w:lineRule="auto"/>
        <w:ind w:firstLine="480" w:firstLineChars="200"/>
        <w:outlineLvl w:val="2"/>
        <w:rPr>
          <w:rFonts w:ascii="仿宋" w:hAnsi="仿宋" w:eastAsia="仿宋" w:cs="仿宋"/>
          <w:color w:val="auto"/>
          <w:sz w:val="24"/>
          <w:highlight w:val="none"/>
        </w:rPr>
      </w:pPr>
      <w:bookmarkStart w:id="41" w:name="_Toc28359020"/>
      <w:bookmarkStart w:id="42" w:name="_Toc35393807"/>
      <w:bookmarkStart w:id="43" w:name="_Toc28359097"/>
      <w:bookmarkStart w:id="44" w:name="_Toc35393638"/>
      <w:r>
        <w:rPr>
          <w:rFonts w:hint="eastAsia" w:ascii="仿宋" w:hAnsi="仿宋" w:eastAsia="仿宋" w:cs="仿宋"/>
          <w:color w:val="auto"/>
          <w:sz w:val="24"/>
          <w:highlight w:val="none"/>
        </w:rPr>
        <w:t>2.组织机构信息</w:t>
      </w:r>
      <w:bookmarkEnd w:id="41"/>
      <w:bookmarkEnd w:id="42"/>
      <w:bookmarkEnd w:id="43"/>
      <w:bookmarkEnd w:id="44"/>
    </w:p>
    <w:p w14:paraId="325802F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u w:val="single"/>
        </w:rPr>
        <w:t>中石化石油物探技术研究院有限公司</w:t>
      </w:r>
    </w:p>
    <w:p w14:paraId="3C217A3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南京市江宁区东山街道上高路219号</w:t>
      </w:r>
    </w:p>
    <w:p w14:paraId="1A20884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联 系 人：</w:t>
      </w:r>
      <w:r>
        <w:rPr>
          <w:rFonts w:hint="eastAsia" w:ascii="仿宋" w:hAnsi="仿宋" w:eastAsia="仿宋" w:cs="仿宋"/>
          <w:color w:val="auto"/>
          <w:sz w:val="24"/>
          <w:highlight w:val="none"/>
          <w:u w:val="single"/>
        </w:rPr>
        <w:t xml:space="preserve">周创                            </w:t>
      </w:r>
    </w:p>
    <w:p w14:paraId="2A1DA8DD">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szCs w:val="28"/>
          <w:highlight w:val="none"/>
          <w:u w:val="single"/>
        </w:rPr>
        <w:t>025-68109658，18936002536</w:t>
      </w:r>
      <w:r>
        <w:rPr>
          <w:rFonts w:hint="eastAsia" w:ascii="仿宋" w:hAnsi="仿宋" w:eastAsia="仿宋" w:cs="仿宋"/>
          <w:color w:val="auto"/>
          <w:sz w:val="24"/>
          <w:highlight w:val="none"/>
          <w:u w:val="single"/>
        </w:rPr>
        <w:t xml:space="preserve">       </w:t>
      </w:r>
    </w:p>
    <w:p w14:paraId="656F15B9">
      <w:pPr>
        <w:spacing w:line="360" w:lineRule="auto"/>
        <w:ind w:firstLine="480" w:firstLineChars="200"/>
        <w:rPr>
          <w:rFonts w:ascii="仿宋" w:hAnsi="仿宋" w:eastAsia="仿宋" w:cs="仿宋"/>
          <w:b/>
          <w:bCs/>
          <w:color w:val="auto"/>
          <w:kern w:val="44"/>
          <w:sz w:val="36"/>
          <w:szCs w:val="36"/>
          <w:highlight w:val="none"/>
        </w:rPr>
      </w:pPr>
      <w:r>
        <w:rPr>
          <w:rFonts w:hint="eastAsia" w:ascii="仿宋" w:hAnsi="仿宋" w:eastAsia="仿宋" w:cs="仿宋"/>
          <w:color w:val="auto"/>
          <w:sz w:val="24"/>
          <w:highlight w:val="none"/>
        </w:rPr>
        <w:t>电子邮箱：</w:t>
      </w:r>
      <w:r>
        <w:rPr>
          <w:rFonts w:ascii="仿宋" w:hAnsi="仿宋" w:eastAsia="仿宋" w:cs="仿宋"/>
          <w:color w:val="auto"/>
          <w:sz w:val="24"/>
          <w:highlight w:val="none"/>
          <w:u w:val="single"/>
        </w:rPr>
        <w:t>zhouch</w:t>
      </w:r>
      <w:r>
        <w:rPr>
          <w:rFonts w:hint="eastAsia" w:ascii="仿宋" w:hAnsi="仿宋" w:eastAsia="仿宋" w:cs="仿宋"/>
          <w:color w:val="auto"/>
          <w:sz w:val="24"/>
          <w:highlight w:val="none"/>
          <w:u w:val="single"/>
        </w:rPr>
        <w:t xml:space="preserve">.swty@sinopec.com          </w:t>
      </w:r>
      <w:bookmarkStart w:id="45" w:name="_Toc518485115"/>
      <w:bookmarkStart w:id="46" w:name="_Toc518485113"/>
    </w:p>
    <w:p w14:paraId="6AB18054">
      <w:pPr>
        <w:ind w:firstLine="723"/>
        <w:rPr>
          <w:rFonts w:ascii="仿宋" w:hAnsi="仿宋" w:eastAsia="仿宋" w:cs="仿宋"/>
          <w:b/>
          <w:bCs/>
          <w:color w:val="auto"/>
          <w:kern w:val="44"/>
          <w:sz w:val="36"/>
          <w:szCs w:val="36"/>
          <w:highlight w:val="none"/>
        </w:rPr>
      </w:pPr>
      <w:r>
        <w:rPr>
          <w:rFonts w:hint="eastAsia" w:ascii="仿宋" w:hAnsi="仿宋" w:eastAsia="仿宋" w:cs="仿宋"/>
          <w:b/>
          <w:bCs/>
          <w:color w:val="auto"/>
          <w:kern w:val="44"/>
          <w:sz w:val="36"/>
          <w:szCs w:val="36"/>
          <w:highlight w:val="none"/>
        </w:rPr>
        <w:br w:type="page"/>
      </w:r>
    </w:p>
    <w:p w14:paraId="5AD71ADE">
      <w:pPr>
        <w:autoSpaceDE w:val="0"/>
        <w:autoSpaceDN w:val="0"/>
        <w:adjustRightInd w:val="0"/>
        <w:spacing w:line="276" w:lineRule="auto"/>
        <w:ind w:firstLine="723"/>
        <w:jc w:val="center"/>
        <w:outlineLvl w:val="0"/>
        <w:rPr>
          <w:rFonts w:ascii="黑体" w:hAnsi="黑体" w:eastAsia="黑体" w:cs="黑体"/>
          <w:b/>
          <w:bCs/>
          <w:color w:val="auto"/>
          <w:kern w:val="44"/>
          <w:sz w:val="36"/>
          <w:szCs w:val="36"/>
          <w:highlight w:val="none"/>
          <w:lang w:val="zh-CN"/>
        </w:rPr>
      </w:pPr>
      <w:bookmarkStart w:id="47" w:name="_Toc5267"/>
      <w:bookmarkStart w:id="48" w:name="_Toc24429"/>
      <w:bookmarkStart w:id="49" w:name="_Toc12344"/>
      <w:r>
        <w:rPr>
          <w:rFonts w:hint="eastAsia" w:ascii="黑体" w:hAnsi="黑体" w:eastAsia="黑体" w:cs="黑体"/>
          <w:b/>
          <w:bCs/>
          <w:color w:val="auto"/>
          <w:kern w:val="44"/>
          <w:sz w:val="36"/>
          <w:szCs w:val="36"/>
          <w:highlight w:val="none"/>
        </w:rPr>
        <w:t xml:space="preserve">第二章 </w:t>
      </w:r>
      <w:r>
        <w:rPr>
          <w:rFonts w:hint="eastAsia" w:ascii="黑体" w:hAnsi="黑体" w:eastAsia="黑体" w:cs="黑体"/>
          <w:b/>
          <w:bCs/>
          <w:color w:val="auto"/>
          <w:kern w:val="44"/>
          <w:sz w:val="36"/>
          <w:szCs w:val="36"/>
          <w:highlight w:val="none"/>
          <w:lang w:val="zh-CN"/>
        </w:rPr>
        <w:t>谈判供应商须知</w:t>
      </w:r>
      <w:bookmarkEnd w:id="45"/>
      <w:bookmarkEnd w:id="47"/>
      <w:bookmarkEnd w:id="48"/>
      <w:bookmarkEnd w:id="49"/>
    </w:p>
    <w:p w14:paraId="070BAA1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single"/>
        </w:rPr>
        <w:t>中石化石油物探技术研究院有限公司</w:t>
      </w:r>
      <w:r>
        <w:rPr>
          <w:rFonts w:hint="eastAsia" w:ascii="仿宋" w:hAnsi="仿宋" w:eastAsia="仿宋" w:cs="仿宋"/>
          <w:color w:val="auto"/>
          <w:sz w:val="24"/>
          <w:highlight w:val="none"/>
        </w:rPr>
        <w:t>（需求方）对其</w:t>
      </w:r>
      <w:r>
        <w:rPr>
          <w:rFonts w:hint="eastAsia" w:ascii="仿宋" w:hAnsi="仿宋" w:eastAsia="仿宋" w:cs="仿宋"/>
          <w:color w:val="auto"/>
          <w:sz w:val="24"/>
          <w:highlight w:val="none"/>
          <w:u w:val="single"/>
        </w:rPr>
        <w:t>物探院</w:t>
      </w:r>
      <w:r>
        <w:rPr>
          <w:rFonts w:hint="eastAsia" w:ascii="仿宋" w:hAnsi="仿宋" w:eastAsia="仿宋" w:cs="仿宋"/>
          <w:color w:val="auto"/>
          <w:sz w:val="24"/>
          <w:highlight w:val="none"/>
          <w:u w:val="single"/>
          <w:lang w:eastAsia="zh-CN"/>
        </w:rPr>
        <w:t>南广场场地改造</w:t>
      </w:r>
      <w:r>
        <w:rPr>
          <w:rFonts w:hint="eastAsia" w:ascii="仿宋" w:hAnsi="仿宋" w:eastAsia="仿宋" w:cs="仿宋"/>
          <w:color w:val="auto"/>
          <w:sz w:val="24"/>
          <w:highlight w:val="none"/>
          <w:u w:val="single"/>
        </w:rPr>
        <w:t>监理选商</w:t>
      </w:r>
      <w:r>
        <w:rPr>
          <w:rFonts w:hint="eastAsia" w:ascii="仿宋" w:hAnsi="仿宋" w:eastAsia="仿宋" w:cs="仿宋"/>
          <w:color w:val="auto"/>
          <w:sz w:val="24"/>
          <w:highlight w:val="none"/>
        </w:rPr>
        <w:t>（项目名称）进行竞争性谈判采购，兹邀请符合条件的供应商参与投标，相关信息如下：</w:t>
      </w:r>
    </w:p>
    <w:p w14:paraId="1836E0F1">
      <w:pPr>
        <w:autoSpaceDE w:val="0"/>
        <w:autoSpaceDN w:val="0"/>
        <w:adjustRightInd w:val="0"/>
        <w:spacing w:line="460" w:lineRule="exact"/>
        <w:ind w:firstLine="641"/>
        <w:jc w:val="center"/>
        <w:rPr>
          <w:rFonts w:ascii="仿宋" w:hAnsi="仿宋" w:eastAsia="仿宋" w:cs="仿宋"/>
          <w:b/>
          <w:bCs/>
          <w:color w:val="auto"/>
          <w:sz w:val="32"/>
          <w:szCs w:val="32"/>
          <w:highlight w:val="none"/>
          <w:lang w:val="zh-CN"/>
        </w:rPr>
      </w:pPr>
      <w:r>
        <w:rPr>
          <w:rFonts w:hint="eastAsia" w:ascii="仿宋" w:hAnsi="仿宋" w:eastAsia="仿宋" w:cs="仿宋"/>
          <w:b/>
          <w:bCs/>
          <w:color w:val="auto"/>
          <w:sz w:val="32"/>
          <w:szCs w:val="32"/>
          <w:highlight w:val="none"/>
          <w:lang w:val="zh-CN"/>
        </w:rPr>
        <w:t>前附表</w:t>
      </w:r>
      <w:bookmarkEnd w:id="46"/>
    </w:p>
    <w:tbl>
      <w:tblPr>
        <w:tblStyle w:val="42"/>
        <w:tblW w:w="8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965"/>
        <w:gridCol w:w="1256"/>
        <w:gridCol w:w="1696"/>
        <w:gridCol w:w="3912"/>
      </w:tblGrid>
      <w:tr w14:paraId="59D7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4988681A">
            <w:pPr>
              <w:adjustRightInd w:val="0"/>
              <w:snapToGrid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1CF58C1E">
            <w:pPr>
              <w:adjustRightInd w:val="0"/>
              <w:snapToGrid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项目</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32A3FB36">
            <w:pPr>
              <w:adjustRightInd w:val="0"/>
              <w:snapToGrid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内容</w:t>
            </w:r>
          </w:p>
        </w:tc>
      </w:tr>
      <w:tr w14:paraId="6ABF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11CB8675">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2504B9F4">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项目编号</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41404291">
            <w:pPr>
              <w:autoSpaceDE w:val="0"/>
              <w:autoSpaceDN w:val="0"/>
              <w:adjustRightInd w:val="0"/>
              <w:rPr>
                <w:rFonts w:ascii="仿宋" w:hAnsi="仿宋" w:eastAsia="仿宋" w:cs="仿宋"/>
                <w:color w:val="auto"/>
                <w:sz w:val="24"/>
                <w:highlight w:val="none"/>
              </w:rPr>
            </w:pPr>
            <w:r>
              <w:rPr>
                <w:rFonts w:hint="eastAsia" w:ascii="仿宋" w:hAnsi="仿宋" w:eastAsia="仿宋" w:cs="仿宋"/>
                <w:color w:val="auto"/>
                <w:sz w:val="24"/>
                <w:highlight w:val="none"/>
              </w:rPr>
              <w:t>\</w:t>
            </w:r>
          </w:p>
        </w:tc>
      </w:tr>
      <w:tr w14:paraId="1343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39D56DDE">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2</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238CD39A">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685F8C61">
            <w:pPr>
              <w:autoSpaceDE w:val="0"/>
              <w:autoSpaceDN w:val="0"/>
              <w:adjustRightInd w:val="0"/>
              <w:rPr>
                <w:rFonts w:ascii="仿宋" w:hAnsi="仿宋" w:eastAsia="仿宋" w:cs="仿宋"/>
                <w:color w:val="auto"/>
                <w:sz w:val="24"/>
                <w:highlight w:val="none"/>
              </w:rPr>
            </w:pPr>
            <w:r>
              <w:rPr>
                <w:rFonts w:hint="eastAsia" w:ascii="仿宋" w:hAnsi="仿宋" w:eastAsia="仿宋" w:cs="仿宋"/>
                <w:color w:val="auto"/>
                <w:sz w:val="24"/>
                <w:highlight w:val="none"/>
              </w:rPr>
              <w:t>中石化石油物探技术研究院有限公司江宁基地</w:t>
            </w:r>
            <w:r>
              <w:rPr>
                <w:rFonts w:hint="eastAsia" w:ascii="仿宋" w:hAnsi="仿宋" w:eastAsia="仿宋" w:cs="仿宋"/>
                <w:color w:val="auto"/>
                <w:sz w:val="24"/>
                <w:highlight w:val="none"/>
                <w:lang w:eastAsia="zh-CN"/>
              </w:rPr>
              <w:t>南广场场地改造</w:t>
            </w:r>
            <w:r>
              <w:rPr>
                <w:rFonts w:hint="eastAsia" w:ascii="仿宋" w:hAnsi="仿宋" w:eastAsia="仿宋" w:cs="仿宋"/>
                <w:color w:val="auto"/>
                <w:sz w:val="24"/>
                <w:highlight w:val="none"/>
              </w:rPr>
              <w:t>监理选商项目</w:t>
            </w:r>
          </w:p>
        </w:tc>
      </w:tr>
      <w:tr w14:paraId="42DC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5960B983">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3</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5BED9587">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招标代理机构</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316A0E34">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w:t>
            </w:r>
          </w:p>
        </w:tc>
      </w:tr>
      <w:tr w14:paraId="656A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7832C7DF">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4</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3F63AB63">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招标代理机构地址</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37C9C841">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w:t>
            </w:r>
          </w:p>
        </w:tc>
      </w:tr>
      <w:tr w14:paraId="74E2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375FB982">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5</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26EEA163">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谈判文件获取方法</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62A03498">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线上获取</w:t>
            </w:r>
          </w:p>
        </w:tc>
      </w:tr>
      <w:tr w14:paraId="4553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3B224CC8">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6</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0842DBFF">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踏勘现场</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4F20DB3F">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需求方在公告结束后组织确认参加谈判的供应商集中现场勘察。</w:t>
            </w:r>
          </w:p>
        </w:tc>
      </w:tr>
      <w:tr w14:paraId="0B88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restart"/>
            <w:tcBorders>
              <w:top w:val="single" w:color="auto" w:sz="4" w:space="0"/>
              <w:left w:val="single" w:color="auto" w:sz="4" w:space="0"/>
              <w:bottom w:val="single" w:color="auto" w:sz="4" w:space="0"/>
              <w:right w:val="single" w:color="auto" w:sz="4" w:space="0"/>
            </w:tcBorders>
            <w:vAlign w:val="center"/>
          </w:tcPr>
          <w:p w14:paraId="78D4BADC">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7</w:t>
            </w:r>
          </w:p>
        </w:tc>
        <w:tc>
          <w:tcPr>
            <w:tcW w:w="965" w:type="dxa"/>
            <w:vMerge w:val="restart"/>
            <w:tcBorders>
              <w:top w:val="single" w:color="auto" w:sz="4" w:space="0"/>
              <w:left w:val="single" w:color="auto" w:sz="4" w:space="0"/>
              <w:bottom w:val="single" w:color="auto" w:sz="4" w:space="0"/>
              <w:right w:val="single" w:color="auto" w:sz="4" w:space="0"/>
            </w:tcBorders>
            <w:vAlign w:val="center"/>
          </w:tcPr>
          <w:p w14:paraId="23C126DD">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投标保证金</w:t>
            </w:r>
          </w:p>
        </w:tc>
        <w:tc>
          <w:tcPr>
            <w:tcW w:w="1256" w:type="dxa"/>
            <w:tcBorders>
              <w:top w:val="single" w:color="auto" w:sz="4" w:space="0"/>
              <w:left w:val="single" w:color="auto" w:sz="4" w:space="0"/>
              <w:bottom w:val="single" w:color="auto" w:sz="4" w:space="0"/>
              <w:right w:val="single" w:color="auto" w:sz="4" w:space="0"/>
            </w:tcBorders>
            <w:vAlign w:val="center"/>
          </w:tcPr>
          <w:p w14:paraId="010D4DE0">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金额</w:t>
            </w:r>
          </w:p>
        </w:tc>
        <w:tc>
          <w:tcPr>
            <w:tcW w:w="5608" w:type="dxa"/>
            <w:gridSpan w:val="2"/>
            <w:vMerge w:val="restart"/>
            <w:tcBorders>
              <w:top w:val="single" w:color="auto" w:sz="4" w:space="0"/>
              <w:left w:val="single" w:color="auto" w:sz="4" w:space="0"/>
              <w:right w:val="single" w:color="auto" w:sz="4" w:space="0"/>
            </w:tcBorders>
            <w:vAlign w:val="center"/>
          </w:tcPr>
          <w:p w14:paraId="5995361C">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w:t>
            </w:r>
          </w:p>
        </w:tc>
      </w:tr>
      <w:tr w14:paraId="5A1A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top w:val="single" w:color="auto" w:sz="4" w:space="0"/>
              <w:left w:val="single" w:color="auto" w:sz="4" w:space="0"/>
              <w:bottom w:val="single" w:color="auto" w:sz="4" w:space="0"/>
              <w:right w:val="single" w:color="auto" w:sz="4" w:space="0"/>
            </w:tcBorders>
            <w:vAlign w:val="center"/>
          </w:tcPr>
          <w:p w14:paraId="5DE51BBD">
            <w:pPr>
              <w:widowControl/>
              <w:adjustRightInd w:val="0"/>
              <w:snapToGrid w:val="0"/>
              <w:jc w:val="left"/>
              <w:rPr>
                <w:rFonts w:ascii="仿宋" w:hAnsi="仿宋" w:eastAsia="仿宋" w:cs="仿宋"/>
                <w:color w:val="auto"/>
                <w:sz w:val="24"/>
                <w:highlight w:val="none"/>
              </w:rPr>
            </w:pPr>
          </w:p>
        </w:tc>
        <w:tc>
          <w:tcPr>
            <w:tcW w:w="965" w:type="dxa"/>
            <w:vMerge w:val="continue"/>
            <w:tcBorders>
              <w:top w:val="single" w:color="auto" w:sz="4" w:space="0"/>
              <w:left w:val="single" w:color="auto" w:sz="4" w:space="0"/>
              <w:bottom w:val="single" w:color="auto" w:sz="4" w:space="0"/>
              <w:right w:val="single" w:color="auto" w:sz="4" w:space="0"/>
            </w:tcBorders>
            <w:vAlign w:val="center"/>
          </w:tcPr>
          <w:p w14:paraId="141E3331">
            <w:pPr>
              <w:widowControl/>
              <w:adjustRightInd w:val="0"/>
              <w:snapToGrid w:val="0"/>
              <w:jc w:val="left"/>
              <w:rPr>
                <w:rFonts w:ascii="仿宋" w:hAnsi="仿宋" w:eastAsia="仿宋" w:cs="仿宋"/>
                <w:color w:val="auto"/>
                <w:sz w:val="24"/>
                <w:highlight w:val="none"/>
              </w:rPr>
            </w:pPr>
          </w:p>
        </w:tc>
        <w:tc>
          <w:tcPr>
            <w:tcW w:w="1256" w:type="dxa"/>
            <w:tcBorders>
              <w:top w:val="single" w:color="auto" w:sz="4" w:space="0"/>
              <w:left w:val="single" w:color="auto" w:sz="4" w:space="0"/>
              <w:right w:val="single" w:color="auto" w:sz="4" w:space="0"/>
            </w:tcBorders>
            <w:vAlign w:val="center"/>
          </w:tcPr>
          <w:p w14:paraId="5F6DDA88">
            <w:pPr>
              <w:adjustRightInd w:val="0"/>
              <w:snapToGri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交纳办法</w:t>
            </w:r>
          </w:p>
        </w:tc>
        <w:tc>
          <w:tcPr>
            <w:tcW w:w="5608" w:type="dxa"/>
            <w:gridSpan w:val="2"/>
            <w:vMerge w:val="continue"/>
            <w:tcBorders>
              <w:left w:val="single" w:color="auto" w:sz="4" w:space="0"/>
              <w:right w:val="single" w:color="auto" w:sz="4" w:space="0"/>
            </w:tcBorders>
            <w:vAlign w:val="center"/>
          </w:tcPr>
          <w:p w14:paraId="6B00E9B3">
            <w:pPr>
              <w:adjustRightInd w:val="0"/>
              <w:snapToGrid w:val="0"/>
              <w:jc w:val="left"/>
              <w:rPr>
                <w:rFonts w:ascii="仿宋" w:hAnsi="仿宋" w:eastAsia="仿宋" w:cs="仿宋"/>
                <w:color w:val="auto"/>
                <w:sz w:val="24"/>
                <w:highlight w:val="none"/>
                <w:lang w:val="zh-CN"/>
              </w:rPr>
            </w:pPr>
          </w:p>
        </w:tc>
      </w:tr>
      <w:tr w14:paraId="1215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1C35A239">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8</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0EAAD131">
            <w:pPr>
              <w:adjustRightInd w:val="0"/>
              <w:snapToGri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谈判有效期</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2D76B40A">
            <w:pPr>
              <w:autoSpaceDE w:val="0"/>
              <w:autoSpaceDN w:val="0"/>
              <w:adjustRightInd w:val="0"/>
              <w:snapToGrid w:val="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谈判后90天</w:t>
            </w:r>
          </w:p>
        </w:tc>
      </w:tr>
      <w:tr w14:paraId="3AE7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24CF85E1">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9</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7CB07A85">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最高限价</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6F01955D">
            <w:pPr>
              <w:autoSpaceDE w:val="0"/>
              <w:autoSpaceDN w:val="0"/>
              <w:adjustRightInd w:val="0"/>
              <w:snapToGrid w:val="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16</w:t>
            </w:r>
            <w:r>
              <w:rPr>
                <w:rFonts w:ascii="仿宋" w:hAnsi="仿宋" w:eastAsia="仿宋" w:cs="仿宋"/>
                <w:color w:val="auto"/>
                <w:sz w:val="24"/>
                <w:highlight w:val="none"/>
              </w:rPr>
              <w:t>0000.00</w:t>
            </w:r>
            <w:r>
              <w:rPr>
                <w:rFonts w:hint="eastAsia" w:ascii="仿宋" w:hAnsi="仿宋" w:eastAsia="仿宋" w:cs="仿宋"/>
                <w:color w:val="auto"/>
                <w:sz w:val="24"/>
                <w:highlight w:val="none"/>
                <w:lang w:val="zh-CN"/>
              </w:rPr>
              <w:t>元</w:t>
            </w:r>
            <w:r>
              <w:rPr>
                <w:rFonts w:hint="eastAsia" w:ascii="仿宋" w:hAnsi="仿宋" w:eastAsia="仿宋" w:cs="仿宋"/>
                <w:color w:val="auto"/>
                <w:sz w:val="24"/>
                <w:highlight w:val="none"/>
                <w:lang w:val="zh-CN" w:eastAsia="zh-CN"/>
              </w:rPr>
              <w:t>（大写：</w:t>
            </w:r>
            <w:r>
              <w:rPr>
                <w:rFonts w:hint="eastAsia" w:ascii="仿宋" w:hAnsi="仿宋" w:eastAsia="仿宋" w:cs="仿宋"/>
                <w:color w:val="auto"/>
                <w:sz w:val="24"/>
                <w:highlight w:val="none"/>
                <w:lang w:val="en-US" w:eastAsia="zh-CN"/>
              </w:rPr>
              <w:t>壹拾陆</w:t>
            </w:r>
            <w:r>
              <w:rPr>
                <w:rFonts w:hint="eastAsia" w:ascii="仿宋" w:hAnsi="仿宋" w:eastAsia="仿宋" w:cs="仿宋"/>
                <w:color w:val="auto"/>
                <w:sz w:val="24"/>
                <w:highlight w:val="none"/>
                <w:lang w:val="zh-CN" w:eastAsia="zh-CN"/>
              </w:rPr>
              <w:t>万元整）</w:t>
            </w:r>
          </w:p>
          <w:p w14:paraId="6CD694EC">
            <w:pPr>
              <w:autoSpaceDE w:val="0"/>
              <w:autoSpaceDN w:val="0"/>
              <w:adjustRightInd w:val="0"/>
              <w:snapToGrid w:val="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最终报价超过最高限价的为无效响应文件</w:t>
            </w:r>
          </w:p>
        </w:tc>
      </w:tr>
      <w:tr w14:paraId="0E66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restart"/>
            <w:tcBorders>
              <w:top w:val="single" w:color="auto" w:sz="4" w:space="0"/>
              <w:left w:val="single" w:color="auto" w:sz="4" w:space="0"/>
              <w:right w:val="single" w:color="auto" w:sz="4" w:space="0"/>
            </w:tcBorders>
            <w:vAlign w:val="center"/>
          </w:tcPr>
          <w:p w14:paraId="2C4EE44C">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10</w:t>
            </w:r>
          </w:p>
        </w:tc>
        <w:tc>
          <w:tcPr>
            <w:tcW w:w="965" w:type="dxa"/>
            <w:vMerge w:val="restart"/>
            <w:tcBorders>
              <w:top w:val="single" w:color="auto" w:sz="4" w:space="0"/>
              <w:left w:val="single" w:color="auto" w:sz="4" w:space="0"/>
              <w:right w:val="single" w:color="auto" w:sz="4" w:space="0"/>
            </w:tcBorders>
            <w:vAlign w:val="center"/>
          </w:tcPr>
          <w:p w14:paraId="4E67FD4D">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谈判信息</w:t>
            </w:r>
          </w:p>
        </w:tc>
        <w:tc>
          <w:tcPr>
            <w:tcW w:w="1256" w:type="dxa"/>
            <w:tcBorders>
              <w:top w:val="single" w:color="auto" w:sz="4" w:space="0"/>
              <w:left w:val="single" w:color="auto" w:sz="4" w:space="0"/>
              <w:bottom w:val="single" w:color="auto" w:sz="4" w:space="0"/>
              <w:right w:val="single" w:color="auto" w:sz="4" w:space="0"/>
            </w:tcBorders>
            <w:vAlign w:val="center"/>
          </w:tcPr>
          <w:p w14:paraId="0523B8A9">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时间</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19AA7B29">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2026年</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27</w:t>
            </w:r>
            <w:bookmarkStart w:id="111" w:name="_GoBack"/>
            <w:bookmarkEnd w:id="111"/>
            <w:r>
              <w:rPr>
                <w:rFonts w:hint="eastAsia" w:ascii="仿宋" w:hAnsi="仿宋" w:eastAsia="仿宋" w:cs="仿宋"/>
                <w:color w:val="auto"/>
                <w:sz w:val="24"/>
                <w:highlight w:val="none"/>
              </w:rPr>
              <w:t>日（北京时间），如有更改另行通知</w:t>
            </w:r>
          </w:p>
        </w:tc>
      </w:tr>
      <w:tr w14:paraId="55E5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20C45263">
            <w:pPr>
              <w:widowControl/>
              <w:adjustRightInd w:val="0"/>
              <w:snapToGrid w:val="0"/>
              <w:jc w:val="left"/>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4C58532F">
            <w:pPr>
              <w:widowControl/>
              <w:adjustRightInd w:val="0"/>
              <w:snapToGrid w:val="0"/>
              <w:jc w:val="left"/>
              <w:rPr>
                <w:rFonts w:ascii="仿宋" w:hAnsi="仿宋" w:eastAsia="仿宋" w:cs="仿宋"/>
                <w:color w:val="auto"/>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14:paraId="1AD9D150">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地点</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5D0436E9">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南京市江宁区东山街道上高路219号</w:t>
            </w:r>
          </w:p>
        </w:tc>
      </w:tr>
      <w:tr w14:paraId="5311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2" w:type="dxa"/>
            <w:vMerge w:val="continue"/>
            <w:tcBorders>
              <w:left w:val="single" w:color="auto" w:sz="4" w:space="0"/>
              <w:bottom w:val="single" w:color="auto" w:sz="4" w:space="0"/>
              <w:right w:val="single" w:color="auto" w:sz="4" w:space="0"/>
            </w:tcBorders>
            <w:vAlign w:val="center"/>
          </w:tcPr>
          <w:p w14:paraId="5F380876">
            <w:pPr>
              <w:widowControl/>
              <w:adjustRightInd w:val="0"/>
              <w:snapToGrid w:val="0"/>
              <w:jc w:val="left"/>
              <w:rPr>
                <w:rFonts w:ascii="仿宋" w:hAnsi="仿宋" w:eastAsia="仿宋" w:cs="仿宋"/>
                <w:color w:val="auto"/>
                <w:sz w:val="24"/>
                <w:highlight w:val="none"/>
              </w:rPr>
            </w:pPr>
          </w:p>
        </w:tc>
        <w:tc>
          <w:tcPr>
            <w:tcW w:w="965" w:type="dxa"/>
            <w:vMerge w:val="continue"/>
            <w:tcBorders>
              <w:left w:val="single" w:color="auto" w:sz="4" w:space="0"/>
              <w:bottom w:val="single" w:color="auto" w:sz="4" w:space="0"/>
              <w:right w:val="single" w:color="auto" w:sz="4" w:space="0"/>
            </w:tcBorders>
            <w:vAlign w:val="center"/>
          </w:tcPr>
          <w:p w14:paraId="2F9F410A">
            <w:pPr>
              <w:widowControl/>
              <w:adjustRightInd w:val="0"/>
              <w:snapToGrid w:val="0"/>
              <w:jc w:val="left"/>
              <w:rPr>
                <w:rFonts w:ascii="仿宋" w:hAnsi="仿宋" w:eastAsia="仿宋" w:cs="仿宋"/>
                <w:color w:val="auto"/>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14:paraId="70550D34">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要求</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34E44B8D">
            <w:pPr>
              <w:adjustRightInd w:val="0"/>
              <w:snapToGrid w:val="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①供应商的法定代表人或其授权的委托代理人持个人有效身份证件原件在指定地点提交谈判响应性文件。</w:t>
            </w:r>
          </w:p>
          <w:p w14:paraId="0E4F15E2">
            <w:pPr>
              <w:adjustRightInd w:val="0"/>
              <w:snapToGrid w:val="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②每份响应文件须清楚标明“正本”或“副本”字样。电子版响应文件（U盘）（随纸质文件一并提交）。当纸质副本文件、电子版文件和纸质正本文件不一致时，以纸质正本文件为准。电子版响应文件（U盘）内需包含：加盖公章后的正本扫描件（PDF）。</w:t>
            </w:r>
          </w:p>
          <w:p w14:paraId="07037690">
            <w:pPr>
              <w:adjustRightInd w:val="0"/>
              <w:snapToGrid w:val="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③响应文件需采用胶装方式装订，拒绝拉杆夹、活页夹形式的装订。</w:t>
            </w:r>
          </w:p>
          <w:p w14:paraId="5B9515D1">
            <w:pPr>
              <w:adjustRightInd w:val="0"/>
              <w:snapToGrid w:val="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④需提供以下内容：1 项目全过程监理总体实施策划方案，2 道路改造拆除、沥青摊铺、土方回填、景观铺装、绿化移栽、给排水管网</w:t>
            </w:r>
            <w:r>
              <w:rPr>
                <w:rFonts w:hint="eastAsia" w:ascii="仿宋" w:hAnsi="仿宋" w:eastAsia="仿宋" w:cs="仿宋"/>
                <w:color w:val="auto"/>
                <w:sz w:val="24"/>
                <w:highlight w:val="none"/>
                <w:u w:val="single"/>
                <w:lang w:val="en-US" w:eastAsia="zh-CN"/>
              </w:rPr>
              <w:t>等</w:t>
            </w:r>
            <w:r>
              <w:rPr>
                <w:rFonts w:hint="eastAsia" w:ascii="仿宋" w:hAnsi="仿宋" w:eastAsia="仿宋" w:cs="仿宋"/>
                <w:color w:val="auto"/>
                <w:sz w:val="24"/>
                <w:highlight w:val="none"/>
                <w:u w:val="single"/>
              </w:rPr>
              <w:t>专项监理管控方案，3 关键工序旁站、隐蔽工程验收、安全文明施工及扬尘管控实施</w:t>
            </w:r>
            <w:r>
              <w:rPr>
                <w:rFonts w:hint="eastAsia" w:ascii="仿宋" w:hAnsi="仿宋" w:eastAsia="仿宋" w:cs="仿宋"/>
                <w:color w:val="auto"/>
                <w:sz w:val="24"/>
                <w:highlight w:val="none"/>
                <w:u w:val="single"/>
                <w:lang w:val="en-US" w:eastAsia="zh-CN"/>
              </w:rPr>
              <w:t>措施</w:t>
            </w:r>
            <w:r>
              <w:rPr>
                <w:rFonts w:hint="eastAsia" w:ascii="仿宋" w:hAnsi="仿宋" w:eastAsia="仿宋" w:cs="仿宋"/>
                <w:color w:val="auto"/>
                <w:sz w:val="24"/>
                <w:highlight w:val="none"/>
                <w:u w:val="single"/>
              </w:rPr>
              <w:t>，4 项目监理服务团队配置、岗位职责及驻场保障概述，5 本项目监理服务费用报价及说明。</w:t>
            </w:r>
          </w:p>
        </w:tc>
      </w:tr>
      <w:tr w14:paraId="4042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5EA0089D">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11</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5E1601F3">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谈判响应文件份数</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20E91F6D">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正本份数：</w:t>
            </w:r>
            <w:r>
              <w:rPr>
                <w:rFonts w:hint="eastAsia" w:ascii="仿宋" w:hAnsi="仿宋" w:eastAsia="仿宋" w:cs="仿宋"/>
                <w:b/>
                <w:bCs/>
                <w:color w:val="auto"/>
                <w:sz w:val="24"/>
                <w:highlight w:val="none"/>
              </w:rPr>
              <w:t>壹份</w:t>
            </w:r>
            <w:r>
              <w:rPr>
                <w:rFonts w:hint="eastAsia" w:ascii="仿宋" w:hAnsi="仿宋" w:eastAsia="仿宋" w:cs="仿宋"/>
                <w:color w:val="auto"/>
                <w:sz w:val="24"/>
                <w:highlight w:val="none"/>
              </w:rPr>
              <w:t>；副本份数：</w:t>
            </w:r>
            <w:r>
              <w:rPr>
                <w:rFonts w:hint="eastAsia" w:ascii="仿宋" w:hAnsi="仿宋" w:eastAsia="仿宋" w:cs="仿宋"/>
                <w:b/>
                <w:bCs/>
                <w:color w:val="auto"/>
                <w:sz w:val="24"/>
                <w:highlight w:val="none"/>
              </w:rPr>
              <w:t>肆份</w:t>
            </w:r>
            <w:r>
              <w:rPr>
                <w:rFonts w:hint="eastAsia" w:ascii="仿宋" w:hAnsi="仿宋" w:eastAsia="仿宋" w:cs="仿宋"/>
                <w:color w:val="auto"/>
                <w:sz w:val="24"/>
                <w:highlight w:val="none"/>
              </w:rPr>
              <w:t>;电子文件（U盘）：</w:t>
            </w:r>
            <w:r>
              <w:rPr>
                <w:rFonts w:hint="eastAsia" w:ascii="仿宋" w:hAnsi="仿宋" w:eastAsia="仿宋" w:cs="仿宋"/>
                <w:b/>
                <w:bCs/>
                <w:color w:val="auto"/>
                <w:sz w:val="24"/>
                <w:highlight w:val="none"/>
              </w:rPr>
              <w:t>壹份</w:t>
            </w:r>
          </w:p>
        </w:tc>
      </w:tr>
      <w:tr w14:paraId="0226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restart"/>
            <w:tcBorders>
              <w:top w:val="single" w:color="auto" w:sz="4" w:space="0"/>
              <w:left w:val="single" w:color="auto" w:sz="4" w:space="0"/>
              <w:right w:val="single" w:color="auto" w:sz="4" w:space="0"/>
            </w:tcBorders>
            <w:vAlign w:val="center"/>
          </w:tcPr>
          <w:p w14:paraId="2DD1E356">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12</w:t>
            </w:r>
          </w:p>
        </w:tc>
        <w:tc>
          <w:tcPr>
            <w:tcW w:w="965" w:type="dxa"/>
            <w:vMerge w:val="restart"/>
            <w:tcBorders>
              <w:top w:val="single" w:color="auto" w:sz="4" w:space="0"/>
              <w:left w:val="single" w:color="auto" w:sz="4" w:space="0"/>
              <w:right w:val="single" w:color="auto" w:sz="4" w:space="0"/>
            </w:tcBorders>
            <w:vAlign w:val="center"/>
          </w:tcPr>
          <w:p w14:paraId="470F0DE0">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联系事项</w:t>
            </w:r>
          </w:p>
        </w:tc>
        <w:tc>
          <w:tcPr>
            <w:tcW w:w="1256" w:type="dxa"/>
            <w:vMerge w:val="restart"/>
            <w:tcBorders>
              <w:top w:val="single" w:color="auto" w:sz="4" w:space="0"/>
              <w:left w:val="single" w:color="auto" w:sz="4" w:space="0"/>
              <w:right w:val="single" w:color="auto" w:sz="4" w:space="0"/>
            </w:tcBorders>
            <w:vAlign w:val="center"/>
          </w:tcPr>
          <w:p w14:paraId="3616335B">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需求部门</w:t>
            </w:r>
          </w:p>
        </w:tc>
        <w:tc>
          <w:tcPr>
            <w:tcW w:w="1696" w:type="dxa"/>
            <w:tcBorders>
              <w:top w:val="single" w:color="auto" w:sz="4" w:space="0"/>
              <w:left w:val="single" w:color="auto" w:sz="4" w:space="0"/>
              <w:bottom w:val="single" w:color="auto" w:sz="4" w:space="0"/>
              <w:right w:val="single" w:color="auto" w:sz="4" w:space="0"/>
            </w:tcBorders>
            <w:vAlign w:val="center"/>
          </w:tcPr>
          <w:p w14:paraId="647418DE">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w:t>
            </w:r>
          </w:p>
        </w:tc>
        <w:tc>
          <w:tcPr>
            <w:tcW w:w="3912" w:type="dxa"/>
            <w:tcBorders>
              <w:top w:val="single" w:color="auto" w:sz="4" w:space="0"/>
              <w:left w:val="single" w:color="auto" w:sz="4" w:space="0"/>
              <w:bottom w:val="single" w:color="auto" w:sz="4" w:space="0"/>
              <w:right w:val="single" w:color="auto" w:sz="4" w:space="0"/>
            </w:tcBorders>
            <w:vAlign w:val="center"/>
          </w:tcPr>
          <w:p w14:paraId="3F1AF86B">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李潇</w:t>
            </w:r>
          </w:p>
        </w:tc>
      </w:tr>
      <w:tr w14:paraId="021B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7C8EEB04">
            <w:pPr>
              <w:adjustRightInd w:val="0"/>
              <w:snapToGrid w:val="0"/>
              <w:jc w:val="center"/>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72E62AB7">
            <w:pPr>
              <w:adjustRightInd w:val="0"/>
              <w:snapToGrid w:val="0"/>
              <w:jc w:val="center"/>
              <w:rPr>
                <w:rFonts w:ascii="仿宋" w:hAnsi="仿宋" w:eastAsia="仿宋" w:cs="仿宋"/>
                <w:color w:val="auto"/>
                <w:sz w:val="24"/>
                <w:highlight w:val="none"/>
              </w:rPr>
            </w:pPr>
          </w:p>
        </w:tc>
        <w:tc>
          <w:tcPr>
            <w:tcW w:w="1256" w:type="dxa"/>
            <w:vMerge w:val="continue"/>
            <w:tcBorders>
              <w:left w:val="single" w:color="auto" w:sz="4" w:space="0"/>
              <w:right w:val="single" w:color="auto" w:sz="4" w:space="0"/>
            </w:tcBorders>
            <w:vAlign w:val="center"/>
          </w:tcPr>
          <w:p w14:paraId="116D2EB4">
            <w:pPr>
              <w:adjustRightInd w:val="0"/>
              <w:snapToGrid w:val="0"/>
              <w:rPr>
                <w:rFonts w:ascii="仿宋" w:hAnsi="仿宋" w:eastAsia="仿宋" w:cs="仿宋"/>
                <w:color w:val="auto"/>
                <w:sz w:val="24"/>
                <w:highlight w:val="none"/>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14:paraId="4503989D">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联系电话</w:t>
            </w:r>
          </w:p>
        </w:tc>
        <w:tc>
          <w:tcPr>
            <w:tcW w:w="3912" w:type="dxa"/>
            <w:tcBorders>
              <w:top w:val="single" w:color="auto" w:sz="4" w:space="0"/>
              <w:left w:val="single" w:color="auto" w:sz="4" w:space="0"/>
              <w:bottom w:val="single" w:color="auto" w:sz="4" w:space="0"/>
              <w:right w:val="single" w:color="auto" w:sz="4" w:space="0"/>
            </w:tcBorders>
            <w:vAlign w:val="center"/>
          </w:tcPr>
          <w:p w14:paraId="121C610D">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025-6810</w:t>
            </w:r>
            <w:r>
              <w:rPr>
                <w:rFonts w:hint="eastAsia" w:ascii="仿宋" w:hAnsi="仿宋" w:eastAsia="仿宋" w:cs="仿宋"/>
                <w:color w:val="auto"/>
                <w:sz w:val="24"/>
                <w:highlight w:val="none"/>
                <w:lang w:val="en-US" w:eastAsia="zh-CN"/>
              </w:rPr>
              <w:t>9955</w:t>
            </w:r>
            <w:r>
              <w:rPr>
                <w:rFonts w:hint="eastAsia" w:ascii="仿宋" w:hAnsi="仿宋" w:eastAsia="仿宋" w:cs="仿宋"/>
                <w:color w:val="auto"/>
                <w:sz w:val="24"/>
                <w:highlight w:val="none"/>
              </w:rPr>
              <w:t>，13236401731</w:t>
            </w:r>
          </w:p>
        </w:tc>
      </w:tr>
      <w:tr w14:paraId="72DB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0CF231D5">
            <w:pPr>
              <w:adjustRightInd w:val="0"/>
              <w:snapToGrid w:val="0"/>
              <w:jc w:val="center"/>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1431B32E">
            <w:pPr>
              <w:adjustRightInd w:val="0"/>
              <w:snapToGrid w:val="0"/>
              <w:jc w:val="center"/>
              <w:rPr>
                <w:rFonts w:ascii="仿宋" w:hAnsi="仿宋" w:eastAsia="仿宋" w:cs="仿宋"/>
                <w:color w:val="auto"/>
                <w:sz w:val="24"/>
                <w:highlight w:val="none"/>
              </w:rPr>
            </w:pPr>
          </w:p>
        </w:tc>
        <w:tc>
          <w:tcPr>
            <w:tcW w:w="1256" w:type="dxa"/>
            <w:vMerge w:val="continue"/>
            <w:tcBorders>
              <w:left w:val="single" w:color="auto" w:sz="4" w:space="0"/>
              <w:bottom w:val="single" w:color="auto" w:sz="4" w:space="0"/>
              <w:right w:val="single" w:color="auto" w:sz="4" w:space="0"/>
            </w:tcBorders>
            <w:vAlign w:val="center"/>
          </w:tcPr>
          <w:p w14:paraId="222A4FBB">
            <w:pPr>
              <w:adjustRightInd w:val="0"/>
              <w:snapToGrid w:val="0"/>
              <w:rPr>
                <w:rFonts w:ascii="仿宋" w:hAnsi="仿宋" w:eastAsia="仿宋" w:cs="仿宋"/>
                <w:color w:val="auto"/>
                <w:sz w:val="24"/>
                <w:highlight w:val="none"/>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14:paraId="3D3CF789">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邮箱</w:t>
            </w:r>
          </w:p>
        </w:tc>
        <w:tc>
          <w:tcPr>
            <w:tcW w:w="3912" w:type="dxa"/>
            <w:tcBorders>
              <w:top w:val="single" w:color="auto" w:sz="4" w:space="0"/>
              <w:left w:val="single" w:color="auto" w:sz="4" w:space="0"/>
              <w:bottom w:val="single" w:color="auto" w:sz="4" w:space="0"/>
              <w:right w:val="single" w:color="auto" w:sz="4" w:space="0"/>
            </w:tcBorders>
            <w:vAlign w:val="center"/>
          </w:tcPr>
          <w:p w14:paraId="21B4479A">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lixiao.swty@sinopec.com</w:t>
            </w:r>
          </w:p>
        </w:tc>
      </w:tr>
      <w:tr w14:paraId="4045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113F74E2">
            <w:pPr>
              <w:adjustRightInd w:val="0"/>
              <w:snapToGrid w:val="0"/>
              <w:jc w:val="center"/>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427E180A">
            <w:pPr>
              <w:adjustRightInd w:val="0"/>
              <w:snapToGrid w:val="0"/>
              <w:jc w:val="center"/>
              <w:rPr>
                <w:rFonts w:ascii="仿宋" w:hAnsi="仿宋" w:eastAsia="仿宋" w:cs="仿宋"/>
                <w:color w:val="auto"/>
                <w:sz w:val="24"/>
                <w:highlight w:val="none"/>
              </w:rPr>
            </w:pPr>
          </w:p>
        </w:tc>
        <w:tc>
          <w:tcPr>
            <w:tcW w:w="1256" w:type="dxa"/>
            <w:vMerge w:val="restart"/>
            <w:tcBorders>
              <w:top w:val="single" w:color="auto" w:sz="4" w:space="0"/>
              <w:left w:val="single" w:color="auto" w:sz="4" w:space="0"/>
              <w:right w:val="single" w:color="auto" w:sz="4" w:space="0"/>
            </w:tcBorders>
            <w:vAlign w:val="center"/>
          </w:tcPr>
          <w:p w14:paraId="29DEBF32">
            <w:pPr>
              <w:adjustRightInd w:val="0"/>
              <w:snapToGri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rPr>
              <w:t>组织</w:t>
            </w:r>
            <w:r>
              <w:rPr>
                <w:rFonts w:hint="eastAsia" w:ascii="仿宋" w:hAnsi="仿宋" w:eastAsia="仿宋" w:cs="仿宋"/>
                <w:color w:val="auto"/>
                <w:sz w:val="24"/>
                <w:highlight w:val="none"/>
                <w:lang w:val="zh-CN"/>
              </w:rPr>
              <w:t>机构</w:t>
            </w:r>
          </w:p>
        </w:tc>
        <w:tc>
          <w:tcPr>
            <w:tcW w:w="1696" w:type="dxa"/>
            <w:tcBorders>
              <w:top w:val="single" w:color="auto" w:sz="4" w:space="0"/>
              <w:left w:val="single" w:color="auto" w:sz="4" w:space="0"/>
              <w:bottom w:val="single" w:color="auto" w:sz="4" w:space="0"/>
              <w:right w:val="single" w:color="auto" w:sz="4" w:space="0"/>
            </w:tcBorders>
            <w:vAlign w:val="center"/>
          </w:tcPr>
          <w:p w14:paraId="795EF965">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w:t>
            </w:r>
          </w:p>
        </w:tc>
        <w:tc>
          <w:tcPr>
            <w:tcW w:w="3912" w:type="dxa"/>
            <w:tcBorders>
              <w:top w:val="single" w:color="auto" w:sz="4" w:space="0"/>
              <w:left w:val="single" w:color="auto" w:sz="4" w:space="0"/>
              <w:bottom w:val="single" w:color="auto" w:sz="4" w:space="0"/>
              <w:right w:val="single" w:color="auto" w:sz="4" w:space="0"/>
            </w:tcBorders>
            <w:vAlign w:val="center"/>
          </w:tcPr>
          <w:p w14:paraId="5F33006B">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周创</w:t>
            </w:r>
          </w:p>
        </w:tc>
      </w:tr>
      <w:tr w14:paraId="6896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5E6C2DCB">
            <w:pPr>
              <w:widowControl/>
              <w:adjustRightInd w:val="0"/>
              <w:snapToGrid w:val="0"/>
              <w:jc w:val="left"/>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17E41356">
            <w:pPr>
              <w:widowControl/>
              <w:adjustRightInd w:val="0"/>
              <w:snapToGrid w:val="0"/>
              <w:jc w:val="left"/>
              <w:rPr>
                <w:rFonts w:ascii="仿宋" w:hAnsi="仿宋" w:eastAsia="仿宋" w:cs="仿宋"/>
                <w:color w:val="auto"/>
                <w:sz w:val="24"/>
                <w:highlight w:val="none"/>
              </w:rPr>
            </w:pPr>
          </w:p>
        </w:tc>
        <w:tc>
          <w:tcPr>
            <w:tcW w:w="1256" w:type="dxa"/>
            <w:vMerge w:val="continue"/>
            <w:tcBorders>
              <w:left w:val="single" w:color="auto" w:sz="4" w:space="0"/>
              <w:right w:val="single" w:color="auto" w:sz="4" w:space="0"/>
            </w:tcBorders>
            <w:vAlign w:val="center"/>
          </w:tcPr>
          <w:p w14:paraId="257F9B0C">
            <w:pPr>
              <w:adjustRightInd w:val="0"/>
              <w:snapToGrid w:val="0"/>
              <w:rPr>
                <w:rFonts w:ascii="仿宋" w:hAnsi="仿宋" w:eastAsia="仿宋" w:cs="仿宋"/>
                <w:color w:val="auto"/>
                <w:sz w:val="24"/>
                <w:highlight w:val="none"/>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14:paraId="055C9483">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联系电话</w:t>
            </w:r>
          </w:p>
        </w:tc>
        <w:tc>
          <w:tcPr>
            <w:tcW w:w="3912" w:type="dxa"/>
            <w:tcBorders>
              <w:top w:val="single" w:color="auto" w:sz="4" w:space="0"/>
              <w:left w:val="single" w:color="auto" w:sz="4" w:space="0"/>
              <w:bottom w:val="single" w:color="auto" w:sz="4" w:space="0"/>
              <w:right w:val="single" w:color="auto" w:sz="4" w:space="0"/>
            </w:tcBorders>
            <w:vAlign w:val="center"/>
          </w:tcPr>
          <w:p w14:paraId="0FDFBDF0">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025-68109658，18936002536</w:t>
            </w:r>
          </w:p>
        </w:tc>
      </w:tr>
      <w:tr w14:paraId="527E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bottom w:val="single" w:color="auto" w:sz="4" w:space="0"/>
              <w:right w:val="single" w:color="auto" w:sz="4" w:space="0"/>
            </w:tcBorders>
            <w:vAlign w:val="center"/>
          </w:tcPr>
          <w:p w14:paraId="7499EC82">
            <w:pPr>
              <w:widowControl/>
              <w:adjustRightInd w:val="0"/>
              <w:snapToGrid w:val="0"/>
              <w:jc w:val="left"/>
              <w:rPr>
                <w:rFonts w:ascii="仿宋" w:hAnsi="仿宋" w:eastAsia="仿宋" w:cs="仿宋"/>
                <w:color w:val="auto"/>
                <w:sz w:val="24"/>
                <w:highlight w:val="none"/>
              </w:rPr>
            </w:pPr>
          </w:p>
        </w:tc>
        <w:tc>
          <w:tcPr>
            <w:tcW w:w="965" w:type="dxa"/>
            <w:vMerge w:val="continue"/>
            <w:tcBorders>
              <w:left w:val="single" w:color="auto" w:sz="4" w:space="0"/>
              <w:bottom w:val="single" w:color="auto" w:sz="4" w:space="0"/>
              <w:right w:val="single" w:color="auto" w:sz="4" w:space="0"/>
            </w:tcBorders>
            <w:vAlign w:val="center"/>
          </w:tcPr>
          <w:p w14:paraId="439CB5D1">
            <w:pPr>
              <w:widowControl/>
              <w:adjustRightInd w:val="0"/>
              <w:snapToGrid w:val="0"/>
              <w:jc w:val="left"/>
              <w:rPr>
                <w:rFonts w:ascii="仿宋" w:hAnsi="仿宋" w:eastAsia="仿宋" w:cs="仿宋"/>
                <w:color w:val="auto"/>
                <w:sz w:val="24"/>
                <w:highlight w:val="none"/>
              </w:rPr>
            </w:pPr>
          </w:p>
        </w:tc>
        <w:tc>
          <w:tcPr>
            <w:tcW w:w="1256" w:type="dxa"/>
            <w:vMerge w:val="continue"/>
            <w:tcBorders>
              <w:left w:val="single" w:color="auto" w:sz="4" w:space="0"/>
              <w:bottom w:val="single" w:color="auto" w:sz="4" w:space="0"/>
              <w:right w:val="single" w:color="auto" w:sz="4" w:space="0"/>
            </w:tcBorders>
            <w:vAlign w:val="center"/>
          </w:tcPr>
          <w:p w14:paraId="364411F8">
            <w:pPr>
              <w:adjustRightInd w:val="0"/>
              <w:snapToGrid w:val="0"/>
              <w:rPr>
                <w:rFonts w:ascii="仿宋" w:hAnsi="仿宋" w:eastAsia="仿宋" w:cs="仿宋"/>
                <w:color w:val="auto"/>
                <w:sz w:val="24"/>
                <w:highlight w:val="none"/>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14:paraId="7555E030">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邮箱</w:t>
            </w:r>
          </w:p>
        </w:tc>
        <w:tc>
          <w:tcPr>
            <w:tcW w:w="3912" w:type="dxa"/>
            <w:tcBorders>
              <w:top w:val="single" w:color="auto" w:sz="4" w:space="0"/>
              <w:left w:val="single" w:color="auto" w:sz="4" w:space="0"/>
              <w:bottom w:val="single" w:color="auto" w:sz="4" w:space="0"/>
              <w:right w:val="single" w:color="auto" w:sz="4" w:space="0"/>
            </w:tcBorders>
            <w:vAlign w:val="center"/>
          </w:tcPr>
          <w:p w14:paraId="67E81592">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zhouch.swty@sinopec.com</w:t>
            </w:r>
          </w:p>
        </w:tc>
      </w:tr>
    </w:tbl>
    <w:p w14:paraId="738B72BC">
      <w:pPr>
        <w:autoSpaceDE w:val="0"/>
        <w:autoSpaceDN w:val="0"/>
        <w:adjustRightInd w:val="0"/>
        <w:spacing w:line="360" w:lineRule="auto"/>
        <w:ind w:firstLine="482"/>
        <w:rPr>
          <w:rFonts w:ascii="仿宋" w:hAnsi="仿宋" w:eastAsia="仿宋" w:cs="仿宋"/>
          <w:b/>
          <w:color w:val="auto"/>
          <w:sz w:val="24"/>
          <w:highlight w:val="none"/>
          <w:lang w:val="zh-CN"/>
        </w:rPr>
      </w:pPr>
    </w:p>
    <w:p w14:paraId="07D9B7A9">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一、总则</w:t>
      </w:r>
    </w:p>
    <w:p w14:paraId="5B4A4BE1">
      <w:pPr>
        <w:autoSpaceDE w:val="0"/>
        <w:autoSpaceDN w:val="0"/>
        <w:adjustRightInd w:val="0"/>
        <w:spacing w:line="360" w:lineRule="auto"/>
        <w:ind w:firstLine="480" w:firstLineChars="200"/>
        <w:rPr>
          <w:rFonts w:ascii="仿宋" w:hAnsi="仿宋" w:eastAsia="仿宋" w:cs="仿宋"/>
          <w:color w:val="auto"/>
          <w:sz w:val="24"/>
          <w:highlight w:val="none"/>
          <w:lang w:val="zh-CN"/>
        </w:rPr>
      </w:pPr>
      <w:bookmarkStart w:id="50" w:name="_Toc503948565"/>
      <w:bookmarkStart w:id="51" w:name="_Toc518485117"/>
      <w:bookmarkStart w:id="52" w:name="_Toc503948058"/>
      <w:r>
        <w:rPr>
          <w:rFonts w:hint="eastAsia" w:ascii="仿宋" w:hAnsi="仿宋" w:eastAsia="仿宋" w:cs="仿宋"/>
          <w:color w:val="auto"/>
          <w:sz w:val="24"/>
          <w:highlight w:val="none"/>
          <w:lang w:val="zh-CN"/>
        </w:rPr>
        <w:t>1、适用法律</w:t>
      </w:r>
      <w:bookmarkEnd w:id="50"/>
      <w:bookmarkEnd w:id="51"/>
      <w:bookmarkEnd w:id="52"/>
    </w:p>
    <w:p w14:paraId="685B4246">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1.1 有关法律、规章和规定等。</w:t>
      </w:r>
    </w:p>
    <w:p w14:paraId="723AD060">
      <w:pPr>
        <w:autoSpaceDE w:val="0"/>
        <w:autoSpaceDN w:val="0"/>
        <w:adjustRightInd w:val="0"/>
        <w:spacing w:line="360" w:lineRule="auto"/>
        <w:ind w:firstLine="482" w:firstLineChars="200"/>
        <w:rPr>
          <w:rFonts w:ascii="仿宋" w:hAnsi="仿宋" w:eastAsia="仿宋" w:cs="仿宋"/>
          <w:b/>
          <w:color w:val="auto"/>
          <w:sz w:val="24"/>
          <w:highlight w:val="none"/>
          <w:lang w:val="zh-CN"/>
        </w:rPr>
      </w:pPr>
      <w:bookmarkStart w:id="53" w:name="_Toc503948566"/>
      <w:bookmarkStart w:id="54" w:name="_Toc518485118"/>
      <w:bookmarkStart w:id="55" w:name="_Toc503948059"/>
      <w:r>
        <w:rPr>
          <w:rFonts w:hint="eastAsia" w:ascii="仿宋" w:hAnsi="仿宋" w:eastAsia="仿宋" w:cs="仿宋"/>
          <w:b/>
          <w:color w:val="auto"/>
          <w:sz w:val="24"/>
          <w:highlight w:val="none"/>
          <w:lang w:val="zh-CN"/>
        </w:rPr>
        <w:t>2、定义</w:t>
      </w:r>
      <w:bookmarkEnd w:id="53"/>
      <w:bookmarkEnd w:id="54"/>
      <w:bookmarkEnd w:id="55"/>
    </w:p>
    <w:p w14:paraId="6BC26554">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2.1 “</w:t>
      </w:r>
      <w:r>
        <w:rPr>
          <w:rFonts w:hint="eastAsia" w:ascii="仿宋" w:hAnsi="仿宋" w:eastAsia="仿宋" w:cs="仿宋"/>
          <w:b/>
          <w:color w:val="auto"/>
          <w:sz w:val="24"/>
          <w:highlight w:val="none"/>
          <w:lang w:val="zh-CN"/>
        </w:rPr>
        <w:t>供应商</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是指参加谈判竞争，并符合谈判文件规定资格条件的法人、其他组织或者自然人。</w:t>
      </w:r>
    </w:p>
    <w:p w14:paraId="6EAA3058">
      <w:pPr>
        <w:autoSpaceDE w:val="0"/>
        <w:autoSpaceDN w:val="0"/>
        <w:adjustRightInd w:val="0"/>
        <w:spacing w:line="360" w:lineRule="auto"/>
        <w:ind w:firstLine="480" w:firstLineChars="200"/>
        <w:rPr>
          <w:rFonts w:ascii="仿宋" w:hAnsi="仿宋" w:eastAsia="仿宋" w:cs="仿宋"/>
          <w:b/>
          <w:color w:val="auto"/>
          <w:sz w:val="24"/>
          <w:highlight w:val="none"/>
          <w:lang w:val="zh-CN"/>
        </w:rPr>
      </w:pPr>
      <w:r>
        <w:rPr>
          <w:rFonts w:hint="eastAsia" w:ascii="仿宋" w:hAnsi="仿宋" w:eastAsia="仿宋" w:cs="仿宋"/>
          <w:color w:val="auto"/>
          <w:sz w:val="24"/>
          <w:highlight w:val="none"/>
          <w:lang w:val="zh-CN"/>
        </w:rPr>
        <w:t>2.2 “服务”指本谈判文件中所述产品及相关服务。</w:t>
      </w:r>
    </w:p>
    <w:p w14:paraId="450A2B97">
      <w:pPr>
        <w:autoSpaceDE w:val="0"/>
        <w:autoSpaceDN w:val="0"/>
        <w:adjustRightInd w:val="0"/>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lang w:val="zh-CN"/>
        </w:rPr>
        <w:t>2.3 “用户或使用单位”是指使用服务的单位。</w:t>
      </w:r>
    </w:p>
    <w:p w14:paraId="153467E0">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bookmarkStart w:id="56" w:name="_Toc518485119"/>
      <w:bookmarkStart w:id="57" w:name="_Toc503948060"/>
      <w:bookmarkStart w:id="58" w:name="_Toc503948567"/>
      <w:r>
        <w:rPr>
          <w:rFonts w:hint="eastAsia" w:ascii="仿宋" w:hAnsi="仿宋" w:eastAsia="仿宋" w:cs="仿宋"/>
          <w:b/>
          <w:color w:val="auto"/>
          <w:sz w:val="24"/>
          <w:highlight w:val="none"/>
          <w:lang w:val="zh-CN"/>
        </w:rPr>
        <w:t>二、谈判文件</w:t>
      </w:r>
      <w:bookmarkEnd w:id="56"/>
      <w:bookmarkEnd w:id="57"/>
      <w:bookmarkEnd w:id="58"/>
    </w:p>
    <w:p w14:paraId="3DB9E515">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zh-CN"/>
        </w:rPr>
        <w:t>、谈判文件组成</w:t>
      </w:r>
    </w:p>
    <w:p w14:paraId="70539B59">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.1 谈判文件组成：谈判邀请、供应商须知、供应商应当提交的资格和资信证明文件、谈判报价要求、谈判文件编制要求、项目的技术规格、要求和数量、合同签订方式、交货和提供服务的时间、付款条件、</w:t>
      </w:r>
      <w:r>
        <w:rPr>
          <w:rFonts w:hint="eastAsia" w:ascii="仿宋" w:hAnsi="仿宋" w:eastAsia="仿宋" w:cs="仿宋"/>
          <w:color w:val="auto"/>
          <w:sz w:val="24"/>
          <w:highlight w:val="none"/>
        </w:rPr>
        <w:t>评审办法</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评审</w:t>
      </w:r>
      <w:r>
        <w:rPr>
          <w:rFonts w:hint="eastAsia" w:ascii="仿宋" w:hAnsi="仿宋" w:eastAsia="仿宋" w:cs="仿宋"/>
          <w:color w:val="auto"/>
          <w:sz w:val="24"/>
          <w:highlight w:val="none"/>
          <w:lang w:val="zh-CN"/>
        </w:rPr>
        <w:t>标准、无效谈判和废标条款、附件等。</w:t>
      </w:r>
    </w:p>
    <w:p w14:paraId="6FC78270">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zh-CN"/>
        </w:rPr>
        <w:t xml:space="preserve"> 谈判文件如果要求供应商提交备选谈判方案的，供应商可以提交备选方案；否则，备选方案将被拒绝。</w:t>
      </w:r>
    </w:p>
    <w:p w14:paraId="53F5D9A3">
      <w:pPr>
        <w:autoSpaceDE w:val="0"/>
        <w:autoSpaceDN w:val="0"/>
        <w:adjustRightInd w:val="0"/>
        <w:spacing w:line="360" w:lineRule="auto"/>
        <w:ind w:firstLine="482" w:firstLineChars="200"/>
        <w:rPr>
          <w:rFonts w:ascii="仿宋" w:hAnsi="仿宋" w:eastAsia="仿宋" w:cs="仿宋"/>
          <w:b/>
          <w:color w:val="auto"/>
          <w:sz w:val="24"/>
          <w:highlight w:val="none"/>
          <w:lang w:val="zh-CN"/>
        </w:rPr>
      </w:pPr>
      <w:bookmarkStart w:id="59" w:name="_Toc503948568"/>
      <w:bookmarkStart w:id="60" w:name="_Toc503948061"/>
      <w:bookmarkStart w:id="61" w:name="_Toc518485120"/>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zh-CN"/>
        </w:rPr>
        <w:t>、谈判文件的澄清、修改</w:t>
      </w:r>
      <w:bookmarkEnd w:id="59"/>
      <w:bookmarkEnd w:id="60"/>
      <w:bookmarkEnd w:id="61"/>
    </w:p>
    <w:p w14:paraId="4C82ED4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zh-CN"/>
        </w:rPr>
        <w:t>对已发出的谈判文件进行必要澄清或者修改的，将在谈判文件要求提交谈判文件截止时间</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日前，在原</w:t>
      </w:r>
      <w:r>
        <w:rPr>
          <w:rFonts w:hint="eastAsia" w:ascii="仿宋" w:hAnsi="仿宋" w:eastAsia="仿宋" w:cs="仿宋"/>
          <w:color w:val="auto"/>
          <w:sz w:val="24"/>
          <w:highlight w:val="none"/>
        </w:rPr>
        <w:t>谈判</w:t>
      </w:r>
      <w:r>
        <w:rPr>
          <w:rFonts w:hint="eastAsia" w:ascii="仿宋" w:hAnsi="仿宋" w:eastAsia="仿宋" w:cs="仿宋"/>
          <w:color w:val="auto"/>
          <w:sz w:val="24"/>
          <w:highlight w:val="none"/>
          <w:lang w:val="zh-CN"/>
        </w:rPr>
        <w:t>公告媒体发布更正公告，该澄清或者修改的内容为谈判文件的组成部分。</w:t>
      </w:r>
    </w:p>
    <w:p w14:paraId="51AA756F">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 在谈判文件要求提交谈判文件截止时间</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日前，有权决定延长谈判截止时间和谈判时间，</w:t>
      </w:r>
      <w:r>
        <w:rPr>
          <w:rFonts w:hint="eastAsia" w:ascii="仿宋" w:hAnsi="仿宋" w:eastAsia="仿宋" w:cs="仿宋"/>
          <w:color w:val="auto"/>
          <w:sz w:val="24"/>
          <w:highlight w:val="none"/>
        </w:rPr>
        <w:t>并及时发布变更信息。</w:t>
      </w:r>
    </w:p>
    <w:p w14:paraId="01EFED3A">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 供应商应在谈判截止时间前关注</w:t>
      </w:r>
      <w:r>
        <w:rPr>
          <w:rFonts w:hint="eastAsia" w:ascii="仿宋" w:hAnsi="仿宋" w:eastAsia="仿宋" w:cs="仿宋"/>
          <w:color w:val="auto"/>
          <w:sz w:val="24"/>
          <w:highlight w:val="none"/>
        </w:rPr>
        <w:t>原采购信息发布媒体上</w:t>
      </w:r>
      <w:r>
        <w:rPr>
          <w:rFonts w:hint="eastAsia" w:ascii="仿宋" w:hAnsi="仿宋" w:eastAsia="仿宋" w:cs="仿宋"/>
          <w:color w:val="auto"/>
          <w:sz w:val="24"/>
          <w:highlight w:val="none"/>
          <w:lang w:val="zh-CN"/>
        </w:rPr>
        <w:t>有关本项目有无变更公告。</w:t>
      </w:r>
    </w:p>
    <w:p w14:paraId="6E6F6E0E">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bookmarkStart w:id="62" w:name="_Toc503948569"/>
      <w:bookmarkStart w:id="63" w:name="_Toc518485121"/>
      <w:bookmarkStart w:id="64" w:name="_Toc503948062"/>
      <w:r>
        <w:rPr>
          <w:rFonts w:hint="eastAsia" w:ascii="仿宋" w:hAnsi="仿宋" w:eastAsia="仿宋" w:cs="仿宋"/>
          <w:b/>
          <w:color w:val="auto"/>
          <w:sz w:val="24"/>
          <w:highlight w:val="none"/>
          <w:lang w:val="zh-CN"/>
        </w:rPr>
        <w:t>三、</w:t>
      </w:r>
      <w:bookmarkEnd w:id="62"/>
      <w:bookmarkEnd w:id="63"/>
      <w:bookmarkEnd w:id="64"/>
      <w:r>
        <w:rPr>
          <w:rFonts w:hint="eastAsia" w:ascii="仿宋" w:hAnsi="仿宋" w:eastAsia="仿宋" w:cs="仿宋"/>
          <w:b/>
          <w:color w:val="auto"/>
          <w:sz w:val="24"/>
          <w:highlight w:val="none"/>
          <w:lang w:val="zh-CN"/>
        </w:rPr>
        <w:t>谈判</w:t>
      </w:r>
    </w:p>
    <w:p w14:paraId="4716B3A9">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zh-CN"/>
        </w:rPr>
        <w:t>、谈判供应商应具备的资格条件：</w:t>
      </w:r>
      <w:r>
        <w:rPr>
          <w:rFonts w:hint="eastAsia" w:ascii="仿宋" w:hAnsi="仿宋" w:eastAsia="仿宋" w:cs="仿宋"/>
          <w:color w:val="auto"/>
          <w:sz w:val="24"/>
          <w:highlight w:val="none"/>
          <w:lang w:val="zh-CN"/>
        </w:rPr>
        <w:t>详见本谈判文件第一章相关内容要求。</w:t>
      </w:r>
    </w:p>
    <w:p w14:paraId="6A7C72F1">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rPr>
        <w:t>6</w:t>
      </w:r>
      <w:r>
        <w:rPr>
          <w:rFonts w:hint="eastAsia" w:ascii="仿宋" w:hAnsi="仿宋" w:eastAsia="仿宋" w:cs="仿宋"/>
          <w:b/>
          <w:color w:val="auto"/>
          <w:sz w:val="24"/>
          <w:highlight w:val="none"/>
          <w:lang w:val="zh-CN"/>
        </w:rPr>
        <w:t>、谈判文件的语言、计量单位、货币和编制</w:t>
      </w:r>
    </w:p>
    <w:p w14:paraId="62918EA3">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.1 供应商提交的谈判响应文件、资料，包括图纸中的说明，以及供应商与</w:t>
      </w:r>
      <w:r>
        <w:rPr>
          <w:rFonts w:hint="eastAsia" w:ascii="仿宋" w:hAnsi="仿宋" w:eastAsia="仿宋" w:cs="仿宋"/>
          <w:color w:val="auto"/>
          <w:sz w:val="24"/>
          <w:highlight w:val="none"/>
        </w:rPr>
        <w:t>需求方</w:t>
      </w:r>
      <w:r>
        <w:rPr>
          <w:rFonts w:hint="eastAsia" w:ascii="仿宋" w:hAnsi="仿宋" w:eastAsia="仿宋" w:cs="仿宋"/>
          <w:color w:val="auto"/>
          <w:sz w:val="24"/>
          <w:highlight w:val="none"/>
          <w:lang w:val="zh-CN"/>
        </w:rPr>
        <w:t>就有关谈判的所有来往函电均应使用中文。谈判文件中若有英文或其他语言文字的资料，应提供相应的中文翻译资料。对不同文本谈判文件的解释发生异议的，以中文文本为准。</w:t>
      </w:r>
    </w:p>
    <w:p w14:paraId="6588995B">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.2 供应商所使用的计量单位应为国家法定计量单位。</w:t>
      </w:r>
    </w:p>
    <w:p w14:paraId="5CEBFDD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.3 供应商应用人民币报价。</w:t>
      </w:r>
    </w:p>
    <w:p w14:paraId="215D6E0B">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.4 谈判响应文件应字迹清楚、内容齐全、不得涂改。如有修改，修改处须有供应商公章和法定代表人或其授权的供应商代表签字。</w:t>
      </w:r>
    </w:p>
    <w:p w14:paraId="076663C7">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.5 谈判响应文件应按照谈判文件规定的顺序，统一用A4规格幅面打印、装订成册并编制目录，由于编排混乱导致谈判响应文件被误读或查找不到，责任由供应商承担。</w:t>
      </w:r>
    </w:p>
    <w:p w14:paraId="0D3965CC">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.6 供应商应在谈判响应文件中写清相应的项目名称、供应商全称、地址、电话、传真等。</w:t>
      </w:r>
    </w:p>
    <w:p w14:paraId="78382162">
      <w:pPr>
        <w:spacing w:line="360" w:lineRule="auto"/>
        <w:ind w:firstLine="480" w:firstLineChars="200"/>
        <w:rPr>
          <w:rFonts w:ascii="仿宋" w:hAnsi="仿宋" w:eastAsia="仿宋" w:cs="仿宋"/>
          <w:b/>
          <w:i/>
          <w:color w:val="auto"/>
          <w:kern w:val="0"/>
          <w:sz w:val="24"/>
          <w:highlight w:val="none"/>
        </w:rPr>
      </w:pPr>
      <w:r>
        <w:rPr>
          <w:rFonts w:hint="eastAsia" w:ascii="仿宋" w:hAnsi="仿宋" w:eastAsia="仿宋" w:cs="仿宋"/>
          <w:color w:val="auto"/>
          <w:kern w:val="0"/>
          <w:sz w:val="24"/>
          <w:highlight w:val="none"/>
        </w:rPr>
        <w:t>6.7</w:t>
      </w:r>
      <w:r>
        <w:rPr>
          <w:rFonts w:hint="eastAsia" w:ascii="仿宋" w:hAnsi="仿宋" w:eastAsia="仿宋" w:cs="仿宋"/>
          <w:color w:val="auto"/>
          <w:sz w:val="24"/>
          <w:highlight w:val="none"/>
          <w:lang w:val="zh-CN"/>
        </w:rPr>
        <w:t>本次采购不接受联合体谈判，</w:t>
      </w:r>
      <w:r>
        <w:rPr>
          <w:rFonts w:hint="eastAsia" w:ascii="仿宋" w:hAnsi="仿宋" w:eastAsia="仿宋" w:cs="仿宋"/>
          <w:color w:val="auto"/>
          <w:sz w:val="24"/>
          <w:highlight w:val="none"/>
        </w:rPr>
        <w:t>不接受备选方案</w:t>
      </w:r>
      <w:r>
        <w:rPr>
          <w:rFonts w:hint="eastAsia" w:ascii="仿宋" w:hAnsi="仿宋" w:eastAsia="仿宋" w:cs="仿宋"/>
          <w:color w:val="auto"/>
          <w:sz w:val="24"/>
          <w:highlight w:val="none"/>
          <w:lang w:val="zh-CN"/>
        </w:rPr>
        <w:t>。</w:t>
      </w:r>
    </w:p>
    <w:p w14:paraId="548B5D69">
      <w:pPr>
        <w:autoSpaceDE w:val="0"/>
        <w:autoSpaceDN w:val="0"/>
        <w:adjustRightInd w:val="0"/>
        <w:spacing w:line="360" w:lineRule="auto"/>
        <w:ind w:firstLine="482" w:firstLineChars="200"/>
        <w:rPr>
          <w:rFonts w:ascii="仿宋" w:hAnsi="仿宋" w:eastAsia="仿宋" w:cs="仿宋"/>
          <w:b/>
          <w:color w:val="auto"/>
          <w:sz w:val="24"/>
          <w:highlight w:val="none"/>
          <w:lang w:val="zh-CN"/>
        </w:rPr>
      </w:pPr>
      <w:bookmarkStart w:id="65" w:name="_Toc503948063"/>
      <w:bookmarkStart w:id="66" w:name="_Toc518485122"/>
      <w:bookmarkStart w:id="67" w:name="_Toc503948570"/>
      <w:r>
        <w:rPr>
          <w:rFonts w:hint="eastAsia" w:ascii="仿宋" w:hAnsi="仿宋" w:eastAsia="仿宋" w:cs="仿宋"/>
          <w:b/>
          <w:color w:val="auto"/>
          <w:sz w:val="24"/>
          <w:highlight w:val="none"/>
        </w:rPr>
        <w:t>7</w:t>
      </w:r>
      <w:r>
        <w:rPr>
          <w:rFonts w:hint="eastAsia" w:ascii="仿宋" w:hAnsi="仿宋" w:eastAsia="仿宋" w:cs="仿宋"/>
          <w:b/>
          <w:color w:val="auto"/>
          <w:sz w:val="24"/>
          <w:highlight w:val="none"/>
          <w:lang w:val="zh-CN"/>
        </w:rPr>
        <w:t>、谈判费用</w:t>
      </w:r>
      <w:bookmarkEnd w:id="65"/>
      <w:bookmarkEnd w:id="66"/>
      <w:bookmarkEnd w:id="67"/>
    </w:p>
    <w:p w14:paraId="159A9005">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1 不收取谈判费用。</w:t>
      </w:r>
    </w:p>
    <w:p w14:paraId="010EF793">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rPr>
        <w:t>8、</w:t>
      </w:r>
      <w:r>
        <w:rPr>
          <w:rFonts w:hint="eastAsia" w:ascii="仿宋" w:hAnsi="仿宋" w:eastAsia="仿宋" w:cs="仿宋"/>
          <w:b/>
          <w:color w:val="auto"/>
          <w:sz w:val="24"/>
          <w:highlight w:val="none"/>
          <w:lang w:val="zh-CN"/>
        </w:rPr>
        <w:t>谈判文件组成</w:t>
      </w:r>
    </w:p>
    <w:p w14:paraId="5772C221">
      <w:pPr>
        <w:autoSpaceDE w:val="0"/>
        <w:autoSpaceDN w:val="0"/>
        <w:adjustRightInd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 xml:space="preserve"> 供应商应当根据谈判文件要求编制谈判</w:t>
      </w:r>
      <w:r>
        <w:rPr>
          <w:rFonts w:hint="eastAsia" w:ascii="仿宋" w:hAnsi="仿宋" w:eastAsia="仿宋" w:cs="仿宋"/>
          <w:color w:val="auto"/>
          <w:sz w:val="24"/>
          <w:highlight w:val="none"/>
          <w:lang w:val="zh-CN"/>
        </w:rPr>
        <w:t>响应文件</w:t>
      </w:r>
      <w:r>
        <w:rPr>
          <w:rFonts w:hint="eastAsia" w:ascii="仿宋" w:hAnsi="仿宋" w:eastAsia="仿宋" w:cs="仿宋"/>
          <w:color w:val="auto"/>
          <w:sz w:val="24"/>
          <w:highlight w:val="none"/>
        </w:rPr>
        <w:t>，谈判</w:t>
      </w:r>
      <w:r>
        <w:rPr>
          <w:rFonts w:hint="eastAsia" w:ascii="仿宋" w:hAnsi="仿宋" w:eastAsia="仿宋" w:cs="仿宋"/>
          <w:color w:val="auto"/>
          <w:sz w:val="24"/>
          <w:highlight w:val="none"/>
          <w:lang w:val="zh-CN"/>
        </w:rPr>
        <w:t>响应文件</w:t>
      </w:r>
      <w:r>
        <w:rPr>
          <w:rFonts w:hint="eastAsia" w:ascii="仿宋" w:hAnsi="仿宋" w:eastAsia="仿宋" w:cs="仿宋"/>
          <w:color w:val="auto"/>
          <w:sz w:val="24"/>
          <w:highlight w:val="none"/>
        </w:rPr>
        <w:t>应对谈判文件提出的要求和条件作出实质性响应，并在</w:t>
      </w:r>
      <w:r>
        <w:rPr>
          <w:rFonts w:hint="eastAsia" w:ascii="仿宋" w:hAnsi="仿宋" w:eastAsia="仿宋" w:cs="仿宋"/>
          <w:color w:val="auto"/>
          <w:sz w:val="24"/>
          <w:highlight w:val="none"/>
          <w:lang w:val="zh-CN"/>
        </w:rPr>
        <w:t>《商务条款偏离表》处</w:t>
      </w:r>
      <w:r>
        <w:rPr>
          <w:rFonts w:hint="eastAsia" w:ascii="仿宋" w:hAnsi="仿宋" w:eastAsia="仿宋" w:cs="仿宋"/>
          <w:color w:val="auto"/>
          <w:sz w:val="24"/>
          <w:highlight w:val="none"/>
        </w:rPr>
        <w:t>逐条标明满足与否。</w:t>
      </w:r>
      <w:r>
        <w:rPr>
          <w:rFonts w:hint="eastAsia" w:ascii="仿宋" w:hAnsi="仿宋" w:eastAsia="仿宋" w:cs="仿宋"/>
          <w:color w:val="auto"/>
          <w:kern w:val="0"/>
          <w:sz w:val="24"/>
          <w:highlight w:val="none"/>
        </w:rPr>
        <w:t>对带星号（★）的商务条款必须在谈判</w:t>
      </w:r>
      <w:r>
        <w:rPr>
          <w:rFonts w:hint="eastAsia" w:ascii="仿宋" w:hAnsi="仿宋" w:eastAsia="仿宋" w:cs="仿宋"/>
          <w:color w:val="auto"/>
          <w:sz w:val="24"/>
          <w:highlight w:val="none"/>
          <w:lang w:val="zh-CN"/>
        </w:rPr>
        <w:t>响应文件</w:t>
      </w:r>
      <w:r>
        <w:rPr>
          <w:rFonts w:hint="eastAsia" w:ascii="仿宋" w:hAnsi="仿宋" w:eastAsia="仿宋" w:cs="仿宋"/>
          <w:color w:val="auto"/>
          <w:kern w:val="0"/>
          <w:sz w:val="24"/>
          <w:highlight w:val="none"/>
        </w:rPr>
        <w:t>中提供技术支持资料（如白皮书、彩页、手册、检测报告等），未提供技术支持资料的，评审时不予认可。</w:t>
      </w:r>
    </w:p>
    <w:p w14:paraId="15EDB2FC">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.2 供应商根据谈判文件载明的标的采购项目实际情况，</w:t>
      </w:r>
      <w:r>
        <w:rPr>
          <w:rFonts w:hint="eastAsia" w:ascii="仿宋" w:hAnsi="仿宋" w:eastAsia="仿宋" w:cs="仿宋"/>
          <w:color w:val="auto"/>
          <w:sz w:val="24"/>
          <w:highlight w:val="none"/>
        </w:rPr>
        <w:t>本项目不允许分包</w:t>
      </w:r>
      <w:r>
        <w:rPr>
          <w:rFonts w:hint="eastAsia" w:ascii="仿宋" w:hAnsi="仿宋" w:eastAsia="仿宋" w:cs="仿宋"/>
          <w:color w:val="auto"/>
          <w:sz w:val="24"/>
          <w:highlight w:val="none"/>
          <w:lang w:val="zh-CN"/>
        </w:rPr>
        <w:t>。</w:t>
      </w:r>
    </w:p>
    <w:p w14:paraId="0473D5E5">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.3 谈判响应文件由商务部分、</w:t>
      </w:r>
      <w:r>
        <w:rPr>
          <w:rFonts w:hint="eastAsia" w:ascii="仿宋" w:hAnsi="仿宋" w:eastAsia="仿宋" w:cs="仿宋"/>
          <w:color w:val="auto"/>
          <w:sz w:val="24"/>
          <w:highlight w:val="none"/>
        </w:rPr>
        <w:t>技术部分</w:t>
      </w:r>
      <w:r>
        <w:rPr>
          <w:rFonts w:hint="eastAsia" w:ascii="仿宋" w:hAnsi="仿宋" w:eastAsia="仿宋" w:cs="仿宋"/>
          <w:color w:val="auto"/>
          <w:sz w:val="24"/>
          <w:highlight w:val="none"/>
          <w:lang w:val="zh-CN"/>
        </w:rPr>
        <w:t>、价格部分，以及其他部分组成。</w:t>
      </w:r>
    </w:p>
    <w:p w14:paraId="7B731A63">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9、谈判响应文件的商务部分</w:t>
      </w:r>
    </w:p>
    <w:p w14:paraId="57CE69F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9</w:t>
      </w:r>
      <w:r>
        <w:rPr>
          <w:rFonts w:hint="eastAsia" w:ascii="仿宋" w:hAnsi="仿宋" w:eastAsia="仿宋" w:cs="仿宋"/>
          <w:color w:val="auto"/>
          <w:sz w:val="24"/>
          <w:highlight w:val="none"/>
          <w:lang w:val="zh-CN"/>
        </w:rPr>
        <w:t>.1 商务部分是证明供应商有资格参加谈判和中标后有能力履行合同的文件，</w:t>
      </w:r>
      <w:r>
        <w:rPr>
          <w:rFonts w:hint="eastAsia" w:ascii="仿宋" w:hAnsi="仿宋" w:eastAsia="仿宋" w:cs="仿宋"/>
          <w:color w:val="auto"/>
          <w:sz w:val="24"/>
          <w:highlight w:val="none"/>
        </w:rPr>
        <w:t>这些文件应能满足招标的要求</w:t>
      </w:r>
      <w:r>
        <w:rPr>
          <w:rFonts w:hint="eastAsia" w:ascii="仿宋" w:hAnsi="仿宋" w:eastAsia="仿宋" w:cs="仿宋"/>
          <w:color w:val="auto"/>
          <w:sz w:val="24"/>
          <w:highlight w:val="none"/>
          <w:lang w:val="zh-CN"/>
        </w:rPr>
        <w:t>，包括但不限于下列文件，其中加★项目不得有缺失或无效。</w:t>
      </w:r>
    </w:p>
    <w:p w14:paraId="642AEB9B">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谈判申请及声明；</w:t>
      </w:r>
    </w:p>
    <w:p w14:paraId="42693582">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法定代表人授权委托书；</w:t>
      </w:r>
    </w:p>
    <w:p w14:paraId="1B93407B">
      <w:pPr>
        <w:widowControl/>
        <w:adjustRightInd w:val="0"/>
        <w:spacing w:line="360" w:lineRule="auto"/>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kern w:val="0"/>
          <w:sz w:val="24"/>
          <w:highlight w:val="none"/>
          <w:lang w:val="zh-CN"/>
        </w:rPr>
        <w:t>（3）</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谈判报价表（另外单独密封一份，便于唱标时查找）</w:t>
      </w:r>
      <w:r>
        <w:rPr>
          <w:rFonts w:hint="eastAsia" w:ascii="仿宋" w:hAnsi="仿宋" w:eastAsia="仿宋" w:cs="仿宋"/>
          <w:color w:val="auto"/>
          <w:sz w:val="24"/>
          <w:highlight w:val="none"/>
          <w:lang w:val="zh-CN"/>
        </w:rPr>
        <w:t>；</w:t>
      </w:r>
    </w:p>
    <w:p w14:paraId="01E8EDE2">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（4）</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第一章谈判邀请中</w:t>
      </w: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val="zh-CN"/>
        </w:rPr>
        <w:t>.1规定的资格条件证明文件；</w:t>
      </w:r>
    </w:p>
    <w:p w14:paraId="43F498AB">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（5）</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第一章谈判邀请中</w:t>
      </w: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val="zh-CN"/>
        </w:rPr>
        <w:t>.2 需求方根据采购项目的特殊要求规定的特定条件证明文件；</w:t>
      </w:r>
    </w:p>
    <w:p w14:paraId="796F1D83">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（6）</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rPr>
        <w:t>工作量</w:t>
      </w:r>
      <w:r>
        <w:rPr>
          <w:rFonts w:hint="eastAsia" w:ascii="仿宋" w:hAnsi="仿宋" w:eastAsia="仿宋" w:cs="仿宋"/>
          <w:color w:val="auto"/>
          <w:kern w:val="0"/>
          <w:sz w:val="24"/>
          <w:highlight w:val="none"/>
          <w:lang w:val="zh-CN"/>
        </w:rPr>
        <w:t>清单；</w:t>
      </w:r>
    </w:p>
    <w:p w14:paraId="0963129A">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（7）</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商务条款偏离表；</w:t>
      </w:r>
    </w:p>
    <w:p w14:paraId="7F9848F8">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8</w:t>
      </w:r>
      <w:r>
        <w:rPr>
          <w:rFonts w:hint="eastAsia" w:ascii="仿宋" w:hAnsi="仿宋" w:eastAsia="仿宋" w:cs="仿宋"/>
          <w:color w:val="auto"/>
          <w:kern w:val="0"/>
          <w:sz w:val="24"/>
          <w:highlight w:val="none"/>
          <w:lang w:val="zh-CN"/>
        </w:rPr>
        <w:t>）★安全生产责任承诺书；</w:t>
      </w:r>
    </w:p>
    <w:p w14:paraId="748810C3">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9</w:t>
      </w:r>
      <w:r>
        <w:rPr>
          <w:rFonts w:hint="eastAsia" w:ascii="仿宋" w:hAnsi="仿宋" w:eastAsia="仿宋" w:cs="仿宋"/>
          <w:color w:val="auto"/>
          <w:kern w:val="0"/>
          <w:sz w:val="24"/>
          <w:highlight w:val="none"/>
          <w:lang w:val="zh-CN"/>
        </w:rPr>
        <w:t>）供应商认为需提供的其他商务资料。</w:t>
      </w:r>
    </w:p>
    <w:p w14:paraId="299BAF1B">
      <w:pPr>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0</w:t>
      </w:r>
      <w:r>
        <w:rPr>
          <w:rFonts w:hint="eastAsia" w:ascii="仿宋" w:hAnsi="仿宋" w:eastAsia="仿宋" w:cs="仿宋"/>
          <w:b/>
          <w:color w:val="auto"/>
          <w:sz w:val="24"/>
          <w:highlight w:val="none"/>
          <w:lang w:val="zh-CN"/>
        </w:rPr>
        <w:t>、谈判响应文件的技术部分：</w:t>
      </w:r>
    </w:p>
    <w:p w14:paraId="44ACA752">
      <w:pPr>
        <w:spacing w:line="360" w:lineRule="auto"/>
        <w:ind w:firstLine="482" w:firstLineChars="200"/>
        <w:rPr>
          <w:rFonts w:ascii="仿宋" w:hAnsi="仿宋" w:eastAsia="仿宋" w:cs="仿宋"/>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0</w:t>
      </w:r>
      <w:r>
        <w:rPr>
          <w:rFonts w:hint="eastAsia" w:ascii="仿宋" w:hAnsi="仿宋" w:eastAsia="仿宋" w:cs="仿宋"/>
          <w:b/>
          <w:color w:val="auto"/>
          <w:sz w:val="24"/>
          <w:highlight w:val="none"/>
          <w:lang w:val="zh-CN"/>
        </w:rPr>
        <w:t>.1</w:t>
      </w:r>
      <w:r>
        <w:rPr>
          <w:rFonts w:hint="eastAsia" w:ascii="仿宋" w:hAnsi="仿宋" w:eastAsia="仿宋" w:cs="仿宋"/>
          <w:color w:val="auto"/>
          <w:sz w:val="24"/>
          <w:highlight w:val="none"/>
          <w:lang w:val="zh-CN"/>
        </w:rPr>
        <w:t>技术部分是证明供应商提供的工程量清单符合谈判文件要求，以及对施工方案的详细说明，这些文件可以是文字资料、图纸和数据等。包括但不限于下列文件，其中加“★”项目不得有缺失或无效。</w:t>
      </w:r>
    </w:p>
    <w:p w14:paraId="06F152B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服务方案；</w:t>
      </w:r>
    </w:p>
    <w:p w14:paraId="7EA17DF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（2）★技术条款偏离表；</w:t>
      </w:r>
    </w:p>
    <w:p w14:paraId="19FA443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（3）★承诺书；</w:t>
      </w:r>
    </w:p>
    <w:p w14:paraId="6FF8AA9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（4）供应商认为需要提供的其他技术资料。</w:t>
      </w:r>
    </w:p>
    <w:p w14:paraId="48AABF98">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zh-CN"/>
        </w:rPr>
        <w:t>、谈判响应文件的价格部分</w:t>
      </w:r>
    </w:p>
    <w:p w14:paraId="49CF4B98">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zh-CN"/>
        </w:rPr>
        <w:t>.1 价格部分是对谈判货物及服务价格构成的说明，每一项服务仅接受一个价格。</w:t>
      </w:r>
    </w:p>
    <w:p w14:paraId="1DEF4C17">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zh-CN"/>
        </w:rPr>
        <w:t>.2</w:t>
      </w:r>
      <w:r>
        <w:rPr>
          <w:rFonts w:hint="eastAsia" w:ascii="仿宋" w:hAnsi="仿宋" w:eastAsia="仿宋" w:cs="仿宋"/>
          <w:color w:val="auto"/>
          <w:sz w:val="24"/>
          <w:highlight w:val="none"/>
        </w:rPr>
        <w:t>本次采购倡导公平竞争，反对低于成本恶意竞争，不得串通报价、哄抬价格，报价应低于市场平均价。</w:t>
      </w:r>
    </w:p>
    <w:p w14:paraId="000487EA">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 xml:space="preserve">.3 </w:t>
      </w:r>
      <w:r>
        <w:rPr>
          <w:rFonts w:hint="eastAsia" w:ascii="仿宋" w:hAnsi="仿宋" w:eastAsia="仿宋" w:cs="仿宋"/>
          <w:color w:val="auto"/>
          <w:sz w:val="24"/>
          <w:highlight w:val="none"/>
        </w:rPr>
        <w:t>供应商的任何错漏、优惠、竞争性报价不得作为减轻责任、减少服务、增加收费、降低质量的理由。在验收过程中，如发现有漏项、缺件，谈判方应无条件、无偿补齐，所发生的一切费用，视为已包含在谈判方的最终谈判报价中。</w:t>
      </w:r>
    </w:p>
    <w:p w14:paraId="75587DA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.4 供应商应在《谈判报价表》、《谈判分项报价》等标明提供货物及服务的单价、总价以及分项报价。</w:t>
      </w:r>
    </w:p>
    <w:p w14:paraId="31F49546">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.5 《谈判报价表》一份，单独封装并标明“谈判报价表”字样，随谈判响应文件一并递交，以便</w:t>
      </w:r>
      <w:r>
        <w:rPr>
          <w:rFonts w:hint="eastAsia" w:ascii="仿宋" w:hAnsi="仿宋" w:eastAsia="仿宋" w:cs="仿宋"/>
          <w:color w:val="auto"/>
          <w:sz w:val="24"/>
          <w:highlight w:val="none"/>
        </w:rPr>
        <w:t>价格评审</w:t>
      </w:r>
      <w:r>
        <w:rPr>
          <w:rFonts w:hint="eastAsia" w:ascii="仿宋" w:hAnsi="仿宋" w:eastAsia="仿宋" w:cs="仿宋"/>
          <w:color w:val="auto"/>
          <w:sz w:val="24"/>
          <w:highlight w:val="none"/>
          <w:lang w:val="zh-CN"/>
        </w:rPr>
        <w:t>时使用。</w:t>
      </w:r>
    </w:p>
    <w:p w14:paraId="60964A77">
      <w:pPr>
        <w:widowControl/>
        <w:adjustRightInd w:val="0"/>
        <w:spacing w:line="360" w:lineRule="auto"/>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.6谈判供应商应充分考虑到市场价格变动，以及项目实施过程中的不可预见因素，一旦成交，总价格不变。如果有漏项，视同让利。</w:t>
      </w:r>
    </w:p>
    <w:p w14:paraId="17DF57C5">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、谈判响应文件的其他部分</w:t>
      </w:r>
    </w:p>
    <w:p w14:paraId="1BB701DC">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zh-CN"/>
        </w:rPr>
        <w:t>.1 其他部分由供应商根据编制谈判文件需要提供的其他相关文件。</w:t>
      </w:r>
    </w:p>
    <w:p w14:paraId="1C017784">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zh-CN"/>
        </w:rPr>
        <w:t>、谈判有效期</w:t>
      </w:r>
    </w:p>
    <w:p w14:paraId="7D732442">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.1 自谈判之日起</w:t>
      </w:r>
      <w:r>
        <w:rPr>
          <w:rFonts w:hint="eastAsia" w:ascii="仿宋" w:hAnsi="仿宋" w:eastAsia="仿宋" w:cs="仿宋"/>
          <w:color w:val="auto"/>
          <w:sz w:val="24"/>
          <w:highlight w:val="none"/>
        </w:rPr>
        <w:t>90</w:t>
      </w:r>
      <w:r>
        <w:rPr>
          <w:rFonts w:hint="eastAsia" w:ascii="仿宋" w:hAnsi="仿宋" w:eastAsia="仿宋" w:cs="仿宋"/>
          <w:color w:val="auto"/>
          <w:sz w:val="24"/>
          <w:highlight w:val="none"/>
          <w:lang w:val="zh-CN"/>
        </w:rPr>
        <w:t>天内谈判有效。</w:t>
      </w:r>
    </w:p>
    <w:p w14:paraId="5A927F52">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zh-CN"/>
        </w:rPr>
        <w:t>、谈判响应文件签署</w:t>
      </w:r>
    </w:p>
    <w:p w14:paraId="2A75F11E">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 谈判响应文件的正本和副本均由供应商法定代表人或经正式授权并对供应商有约束力的</w:t>
      </w:r>
      <w:r>
        <w:rPr>
          <w:rFonts w:hint="eastAsia" w:ascii="仿宋" w:hAnsi="仿宋" w:eastAsia="仿宋" w:cs="仿宋"/>
          <w:color w:val="auto"/>
          <w:kern w:val="0"/>
          <w:sz w:val="24"/>
          <w:highlight w:val="none"/>
          <w:lang w:val="zh-CN"/>
        </w:rPr>
        <w:t>委托代理人</w:t>
      </w:r>
      <w:r>
        <w:rPr>
          <w:rFonts w:hint="eastAsia" w:ascii="仿宋" w:hAnsi="仿宋" w:eastAsia="仿宋" w:cs="仿宋"/>
          <w:color w:val="auto"/>
          <w:sz w:val="24"/>
          <w:highlight w:val="none"/>
          <w:lang w:val="zh-CN"/>
        </w:rPr>
        <w:t>签字。</w:t>
      </w:r>
    </w:p>
    <w:p w14:paraId="7F314768">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zh-CN"/>
        </w:rPr>
        <w:t>、谈判响应文件的密封和递交</w:t>
      </w:r>
    </w:p>
    <w:p w14:paraId="114CBF73">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.1 供应商应当将谈判响应文件密封；</w:t>
      </w:r>
    </w:p>
    <w:p w14:paraId="2F500CC1">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.2 供应商应当在谈判文件要求提交谈判响应文件的截止时间前，将密封的谈判响应文件送达谈判地点。</w:t>
      </w:r>
    </w:p>
    <w:p w14:paraId="704E373D">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6</w:t>
      </w:r>
      <w:r>
        <w:rPr>
          <w:rFonts w:hint="eastAsia" w:ascii="仿宋" w:hAnsi="仿宋" w:eastAsia="仿宋" w:cs="仿宋"/>
          <w:b/>
          <w:color w:val="auto"/>
          <w:sz w:val="24"/>
          <w:highlight w:val="none"/>
          <w:lang w:val="zh-CN"/>
        </w:rPr>
        <w:t>、有下列情形之一的谈判响应文件将拒收：</w:t>
      </w:r>
    </w:p>
    <w:p w14:paraId="256B48F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 xml:space="preserve">1 </w:t>
      </w:r>
      <w:r>
        <w:rPr>
          <w:rFonts w:hint="eastAsia" w:ascii="仿宋" w:hAnsi="仿宋" w:eastAsia="仿宋" w:cs="仿宋"/>
          <w:color w:val="auto"/>
          <w:sz w:val="24"/>
          <w:highlight w:val="none"/>
          <w:lang w:val="zh-CN"/>
        </w:rPr>
        <w:t>在谈判文件要求提交谈判响应文件的截止时间之后送达的。</w:t>
      </w:r>
    </w:p>
    <w:p w14:paraId="038F098F">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7</w:t>
      </w:r>
      <w:r>
        <w:rPr>
          <w:rFonts w:hint="eastAsia" w:ascii="仿宋" w:hAnsi="仿宋" w:eastAsia="仿宋" w:cs="仿宋"/>
          <w:b/>
          <w:color w:val="auto"/>
          <w:sz w:val="24"/>
          <w:highlight w:val="none"/>
          <w:lang w:val="zh-CN"/>
        </w:rPr>
        <w:t>、谈判响应文件的修改和撤回</w:t>
      </w:r>
    </w:p>
    <w:p w14:paraId="1ABF15C5">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7</w:t>
      </w:r>
      <w:r>
        <w:rPr>
          <w:rFonts w:hint="eastAsia" w:ascii="仿宋" w:hAnsi="仿宋" w:eastAsia="仿宋" w:cs="仿宋"/>
          <w:color w:val="auto"/>
          <w:sz w:val="24"/>
          <w:highlight w:val="none"/>
          <w:lang w:val="zh-CN"/>
        </w:rPr>
        <w:t>.1 供应商在谈判截止时间前，可以对所递交的谈判响应文件进行补充、修改或撤回，并书面通知</w:t>
      </w:r>
      <w:r>
        <w:rPr>
          <w:rFonts w:hint="eastAsia" w:ascii="仿宋" w:hAnsi="仿宋" w:eastAsia="仿宋" w:cs="仿宋"/>
          <w:color w:val="auto"/>
          <w:sz w:val="24"/>
          <w:highlight w:val="none"/>
        </w:rPr>
        <w:t>需求方</w:t>
      </w:r>
      <w:r>
        <w:rPr>
          <w:rFonts w:hint="eastAsia" w:ascii="仿宋" w:hAnsi="仿宋" w:eastAsia="仿宋" w:cs="仿宋"/>
          <w:color w:val="auto"/>
          <w:sz w:val="24"/>
          <w:highlight w:val="none"/>
          <w:lang w:val="zh-CN"/>
        </w:rPr>
        <w:t>。补充、修改的内容应当按照谈判文件要求签署、盖章，并作为谈判响应文件的组成部分。</w:t>
      </w:r>
    </w:p>
    <w:p w14:paraId="7E3F515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7</w:t>
      </w:r>
      <w:r>
        <w:rPr>
          <w:rFonts w:hint="eastAsia" w:ascii="仿宋" w:hAnsi="仿宋" w:eastAsia="仿宋" w:cs="仿宋"/>
          <w:color w:val="auto"/>
          <w:sz w:val="24"/>
          <w:highlight w:val="none"/>
          <w:lang w:val="zh-CN"/>
        </w:rPr>
        <w:t>.2 谈判截止时间过后，谈判响应文件不得撤回；如果撤回的，一年内不得参加</w:t>
      </w:r>
      <w:r>
        <w:rPr>
          <w:rFonts w:hint="eastAsia" w:ascii="仿宋" w:hAnsi="仿宋" w:eastAsia="仿宋" w:cs="仿宋"/>
          <w:color w:val="auto"/>
          <w:sz w:val="24"/>
          <w:highlight w:val="none"/>
        </w:rPr>
        <w:t>需求方</w:t>
      </w:r>
      <w:r>
        <w:rPr>
          <w:rFonts w:hint="eastAsia" w:ascii="仿宋" w:hAnsi="仿宋" w:eastAsia="仿宋" w:cs="仿宋"/>
          <w:color w:val="auto"/>
          <w:sz w:val="24"/>
          <w:highlight w:val="none"/>
          <w:lang w:val="zh-CN"/>
        </w:rPr>
        <w:t>组织的采购活动。</w:t>
      </w:r>
    </w:p>
    <w:p w14:paraId="53990105">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bookmarkStart w:id="68" w:name="_Toc503948064"/>
      <w:bookmarkStart w:id="69" w:name="_Toc503948571"/>
      <w:bookmarkStart w:id="70" w:name="_Toc518485123"/>
      <w:r>
        <w:rPr>
          <w:rFonts w:hint="eastAsia" w:ascii="仿宋" w:hAnsi="仿宋" w:eastAsia="仿宋" w:cs="仿宋"/>
          <w:b/>
          <w:color w:val="auto"/>
          <w:sz w:val="24"/>
          <w:highlight w:val="none"/>
          <w:lang w:val="zh-CN"/>
        </w:rPr>
        <w:t>四、</w:t>
      </w:r>
      <w:bookmarkEnd w:id="68"/>
      <w:bookmarkEnd w:id="69"/>
      <w:bookmarkEnd w:id="70"/>
      <w:r>
        <w:rPr>
          <w:rFonts w:hint="eastAsia" w:ascii="仿宋" w:hAnsi="仿宋" w:eastAsia="仿宋" w:cs="仿宋"/>
          <w:b/>
          <w:color w:val="auto"/>
          <w:sz w:val="24"/>
          <w:highlight w:val="none"/>
          <w:lang w:val="zh-CN"/>
        </w:rPr>
        <w:t>谈判</w:t>
      </w:r>
    </w:p>
    <w:p w14:paraId="05B5E9AA">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1" w:name="_Toc518485124"/>
      <w:bookmarkStart w:id="72" w:name="_Toc503948066"/>
      <w:bookmarkStart w:id="73" w:name="_Toc503948573"/>
      <w:r>
        <w:rPr>
          <w:rFonts w:hint="eastAsia" w:ascii="仿宋" w:hAnsi="仿宋" w:eastAsia="仿宋" w:cs="仿宋"/>
          <w:b/>
          <w:color w:val="auto"/>
          <w:sz w:val="24"/>
          <w:highlight w:val="none"/>
        </w:rPr>
        <w:t>18、谈判组织</w:t>
      </w:r>
      <w:bookmarkEnd w:id="71"/>
    </w:p>
    <w:p w14:paraId="250F650A">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18.1 在递交谈判响应文件时间截止后，在规定的时间和地点组织谈判小组按程序进行谈判。</w:t>
      </w:r>
    </w:p>
    <w:p w14:paraId="7BA73FD3">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18.2 谈判工作由需求方负责组织，具体谈判事务由依法组建的谈判小组负责。</w:t>
      </w:r>
    </w:p>
    <w:p w14:paraId="7F4BA02B">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4" w:name="_Toc518485125"/>
      <w:r>
        <w:rPr>
          <w:rFonts w:hint="eastAsia" w:ascii="仿宋" w:hAnsi="仿宋" w:eastAsia="仿宋" w:cs="仿宋"/>
          <w:b/>
          <w:color w:val="auto"/>
          <w:sz w:val="24"/>
          <w:highlight w:val="none"/>
        </w:rPr>
        <w:t>19、谈判程序</w:t>
      </w:r>
      <w:bookmarkEnd w:id="74"/>
    </w:p>
    <w:p w14:paraId="0616D4CB">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19.1 谈判小组对谈判供应商进行资格性审查、符合性审查，审阅供应商所递交的响应性文件，凡不具备资格条件的供应商不得进入谈判程序。</w:t>
      </w:r>
    </w:p>
    <w:p w14:paraId="1900D481">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19.2 采用综合评分法，首先按评审标准对所有符合条件的供应商进行技术和商务评分，技术和商务评审完成后揭示供应商报价并进行价格评审；分两轮谈判，价格分计算按最低价法；</w:t>
      </w:r>
    </w:p>
    <w:p w14:paraId="423DBDC3">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19.3 第一轮评审综合技术、商务、价格分后计算总分，根据总分从高到低排序，</w:t>
      </w:r>
      <w:r>
        <w:rPr>
          <w:rFonts w:hint="eastAsia" w:ascii="仿宋" w:hAnsi="仿宋" w:eastAsia="仿宋" w:cs="仿宋"/>
          <w:color w:val="auto"/>
          <w:sz w:val="24"/>
          <w:highlight w:val="none"/>
          <w:lang w:val="en-US" w:eastAsia="zh-CN"/>
        </w:rPr>
        <w:t>选择排名靠前且</w:t>
      </w:r>
      <w:r>
        <w:rPr>
          <w:rFonts w:hint="eastAsia" w:ascii="仿宋" w:hAnsi="仿宋" w:eastAsia="仿宋" w:cs="仿宋"/>
          <w:color w:val="auto"/>
          <w:sz w:val="24"/>
          <w:highlight w:val="none"/>
        </w:rPr>
        <w:t>技术分不低于4</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分（总分</w:t>
      </w:r>
      <w:r>
        <w:rPr>
          <w:rFonts w:hint="eastAsia" w:ascii="仿宋" w:hAnsi="仿宋" w:eastAsia="仿宋" w:cs="仿宋"/>
          <w:color w:val="auto"/>
          <w:sz w:val="24"/>
          <w:highlight w:val="none"/>
        </w:rPr>
        <w:t>5</w:t>
      </w:r>
      <w:r>
        <w:rPr>
          <w:rFonts w:ascii="仿宋" w:hAnsi="仿宋" w:eastAsia="仿宋" w:cs="仿宋"/>
          <w:color w:val="auto"/>
          <w:sz w:val="24"/>
          <w:highlight w:val="none"/>
        </w:rPr>
        <w:t>0分）的供应商进入第二轮谈判</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当</w:t>
      </w:r>
      <w:r>
        <w:rPr>
          <w:rFonts w:hint="eastAsia" w:ascii="仿宋" w:hAnsi="仿宋" w:eastAsia="仿宋" w:cs="仿宋"/>
          <w:color w:val="auto"/>
          <w:sz w:val="24"/>
          <w:highlight w:val="none"/>
        </w:rPr>
        <w:t>技术分不低于42.5分</w:t>
      </w:r>
      <w:r>
        <w:rPr>
          <w:rFonts w:hint="eastAsia" w:ascii="仿宋" w:hAnsi="仿宋" w:eastAsia="仿宋" w:cs="仿宋"/>
          <w:color w:val="auto"/>
          <w:sz w:val="24"/>
          <w:highlight w:val="none"/>
          <w:lang w:val="en-US" w:eastAsia="zh-CN"/>
        </w:rPr>
        <w:t>的供应商不低于5家时，选择排名前3进入第二轮；当</w:t>
      </w:r>
      <w:r>
        <w:rPr>
          <w:rFonts w:hint="eastAsia" w:ascii="仿宋" w:hAnsi="仿宋" w:eastAsia="仿宋" w:cs="仿宋"/>
          <w:color w:val="auto"/>
          <w:sz w:val="24"/>
          <w:highlight w:val="none"/>
        </w:rPr>
        <w:t>技术分不低于42.5</w:t>
      </w:r>
      <w:r>
        <w:rPr>
          <w:rFonts w:ascii="仿宋" w:hAnsi="仿宋" w:eastAsia="仿宋" w:cs="仿宋"/>
          <w:color w:val="auto"/>
          <w:sz w:val="24"/>
          <w:highlight w:val="none"/>
        </w:rPr>
        <w:t>分</w:t>
      </w:r>
      <w:r>
        <w:rPr>
          <w:rFonts w:hint="eastAsia" w:ascii="仿宋" w:hAnsi="仿宋" w:eastAsia="仿宋" w:cs="仿宋"/>
          <w:color w:val="auto"/>
          <w:sz w:val="24"/>
          <w:highlight w:val="none"/>
          <w:lang w:val="en-US" w:eastAsia="zh-CN"/>
        </w:rPr>
        <w:t>的供应商小于5家时，选择排名前2进入第二轮</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w:t>
      </w:r>
    </w:p>
    <w:p w14:paraId="2BBB08BC">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19.4 进入第二轮谈判供应商进行第二轮报价，作为最终报价，此报价不得高于自身第一轮报价，以第二轮报价得分加上第一轮技术商务分重新计算供应商总分，由高到低排序，优选排名靠前供应商作为预成交供应商。</w:t>
      </w:r>
    </w:p>
    <w:p w14:paraId="2E23AC1A">
      <w:pPr>
        <w:autoSpaceDE w:val="0"/>
        <w:autoSpaceDN w:val="0"/>
        <w:adjustRightInd w:val="0"/>
        <w:snapToGrid w:val="0"/>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19.5 谈判文件如有实质性变动的，谈判小组将以书面形式通知所有参加谈判的供应商。</w:t>
      </w:r>
    </w:p>
    <w:p w14:paraId="51D38FEC">
      <w:pPr>
        <w:adjustRightInd w:val="0"/>
        <w:snapToGrid w:val="0"/>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19.6 出现下列情形之一的谈判响应文件按照无效处理：</w:t>
      </w:r>
    </w:p>
    <w:p w14:paraId="11BE4D69">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（1）供应商资格条件不符合国家有关规定或谈判文件要求的；</w:t>
      </w:r>
    </w:p>
    <w:p w14:paraId="60959E10">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（2）供应商名称或组织结构与资格审查时不一致的；</w:t>
      </w:r>
    </w:p>
    <w:p w14:paraId="5D3CFDFC">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（3）供应商报价低于成本或者高于谈判文件设定的最高投标限价的；</w:t>
      </w:r>
    </w:p>
    <w:p w14:paraId="7296229F">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（4）同一供应商提交两个及以上不同的响应文件或者报价；</w:t>
      </w:r>
    </w:p>
    <w:p w14:paraId="5F12C7F0">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（5）与谈判文件规定的暂估价、暂列金额及甲供材料价格不一致的；</w:t>
      </w:r>
    </w:p>
    <w:p w14:paraId="172322B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（6）与谈判文件明确列出的不可竞争费用项目或费率或计算基础不一致的；</w:t>
      </w:r>
    </w:p>
    <w:p w14:paraId="3F3B0FC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（7）与谈判文件提供的工程量清单中的项目名称、项目特征、计量单位、工程量不一致的；</w:t>
      </w:r>
    </w:p>
    <w:p w14:paraId="2097DADF">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（8）响应文件载明的项目完成期限超过谈判文件规定的期限的；</w:t>
      </w:r>
    </w:p>
    <w:p w14:paraId="65F223CB">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（9）明显不符合技术规范、技术标准的要求的；</w:t>
      </w:r>
    </w:p>
    <w:p w14:paraId="020C3C90">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（10）响应文件载明的货物包装方式、检验标准和方法等不符合谈判文件的要求的；</w:t>
      </w:r>
    </w:p>
    <w:p w14:paraId="2B15FAB1">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（11）响应文件提出了不能满足谈判文件要求或需求方不能接受的工程验收、计量、价款结算和支付办法的；</w:t>
      </w:r>
    </w:p>
    <w:p w14:paraId="04FC3C45">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（12）未按谈判文件要求提供电子响应文件；</w:t>
      </w:r>
    </w:p>
    <w:p w14:paraId="454D2A9B">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（13）不同供应商的谈判文件以及谈判文件制作过程出现了评标委员会认为不应当雷同的情况的；</w:t>
      </w:r>
    </w:p>
    <w:p w14:paraId="70D2AD0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（14）以他人的名义投标、串通投标、以行贿手段谋取中标或者以其他弄虚作假方式投标的；</w:t>
      </w:r>
    </w:p>
    <w:p w14:paraId="4F766E08">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（15）不符合法律、法规和竞争性谈判文件规定的其他实质性要求的；；</w:t>
      </w:r>
    </w:p>
    <w:p w14:paraId="1504319C">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5" w:name="_Toc518485126"/>
      <w:r>
        <w:rPr>
          <w:rFonts w:hint="eastAsia" w:ascii="仿宋" w:hAnsi="仿宋" w:eastAsia="仿宋" w:cs="仿宋"/>
          <w:b/>
          <w:color w:val="auto"/>
          <w:sz w:val="24"/>
          <w:highlight w:val="none"/>
        </w:rPr>
        <w:t>19.7 出现下列情形之一的谈判终止，无成交供应商：</w:t>
      </w:r>
      <w:bookmarkEnd w:id="75"/>
    </w:p>
    <w:p w14:paraId="0E60F849">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（1）所有供应商的谈判响应文件被谈判小组认定为无效的；</w:t>
      </w:r>
    </w:p>
    <w:p w14:paraId="38227FD0">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bCs/>
          <w:color w:val="auto"/>
          <w:sz w:val="24"/>
          <w:highlight w:val="none"/>
        </w:rPr>
        <w:t>（2）</w:t>
      </w:r>
      <w:r>
        <w:rPr>
          <w:rFonts w:hint="eastAsia" w:ascii="仿宋" w:hAnsi="仿宋" w:eastAsia="仿宋" w:cs="仿宋"/>
          <w:color w:val="auto"/>
          <w:sz w:val="24"/>
          <w:highlight w:val="none"/>
        </w:rPr>
        <w:t>出现影响采购公正的违法、违规行为的；</w:t>
      </w:r>
    </w:p>
    <w:p w14:paraId="7FB1D487">
      <w:pPr>
        <w:spacing w:line="360" w:lineRule="auto"/>
        <w:ind w:firstLine="480" w:firstLineChars="200"/>
        <w:rPr>
          <w:rFonts w:ascii="仿宋" w:hAnsi="仿宋" w:eastAsia="仿宋" w:cs="仿宋"/>
          <w:b/>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color w:val="auto"/>
          <w:sz w:val="24"/>
          <w:highlight w:val="none"/>
        </w:rPr>
        <w:t>因重大变故，采购任务取消的；</w:t>
      </w:r>
    </w:p>
    <w:p w14:paraId="3640EB7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（4）需求方需求发生重大变化暂时不能确定或供应商提供的服务不能满足需求等。</w:t>
      </w:r>
    </w:p>
    <w:p w14:paraId="5510F6F1">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6" w:name="_Toc518485127"/>
      <w:r>
        <w:rPr>
          <w:rFonts w:hint="eastAsia" w:ascii="仿宋" w:hAnsi="仿宋" w:eastAsia="仿宋" w:cs="仿宋"/>
          <w:b/>
          <w:color w:val="auto"/>
          <w:sz w:val="24"/>
          <w:highlight w:val="none"/>
        </w:rPr>
        <w:t>20、评审方法和标准</w:t>
      </w:r>
      <w:bookmarkEnd w:id="76"/>
    </w:p>
    <w:p w14:paraId="2C0BB04F">
      <w:pPr>
        <w:widowControl/>
        <w:adjustRightInd w:val="0"/>
        <w:snapToGrid w:val="0"/>
        <w:spacing w:line="360" w:lineRule="auto"/>
        <w:ind w:firstLine="480" w:firstLineChars="200"/>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20.1 采用综合评分法。即在最大限度地满足谈判文件实质性要求前提下，按照谈判文件中规定的各项因素进行综合评审后，以评审总得分最高的供应商作为成交候选供应商或者预成交供应商的评审方法。</w:t>
      </w:r>
      <w:r>
        <w:rPr>
          <w:rFonts w:hint="eastAsia" w:ascii="仿宋" w:hAnsi="仿宋" w:eastAsia="仿宋" w:cs="仿宋"/>
          <w:bCs/>
          <w:color w:val="auto"/>
          <w:sz w:val="24"/>
          <w:highlight w:val="none"/>
          <w:lang w:val="zh-CN"/>
        </w:rPr>
        <w:t>具体评分标准详见第三章</w:t>
      </w:r>
      <w:r>
        <w:rPr>
          <w:rFonts w:hint="eastAsia" w:ascii="仿宋" w:hAnsi="仿宋" w:eastAsia="仿宋" w:cs="仿宋"/>
          <w:color w:val="auto"/>
          <w:sz w:val="24"/>
          <w:highlight w:val="none"/>
          <w:lang w:val="zh-CN"/>
        </w:rPr>
        <w:t>。</w:t>
      </w:r>
    </w:p>
    <w:p w14:paraId="13A39D90">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7" w:name="_Toc518485128"/>
      <w:r>
        <w:rPr>
          <w:rFonts w:hint="eastAsia" w:ascii="仿宋" w:hAnsi="仿宋" w:eastAsia="仿宋" w:cs="仿宋"/>
          <w:b/>
          <w:color w:val="auto"/>
          <w:sz w:val="24"/>
          <w:highlight w:val="none"/>
        </w:rPr>
        <w:t>21、确定成交供应商</w:t>
      </w:r>
      <w:bookmarkEnd w:id="77"/>
    </w:p>
    <w:p w14:paraId="7F412D0C">
      <w:pPr>
        <w:adjustRightInd w:val="0"/>
        <w:snapToGri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zh-CN"/>
        </w:rPr>
        <w:t>谈判小组对</w:t>
      </w:r>
      <w:r>
        <w:rPr>
          <w:rFonts w:hint="eastAsia" w:ascii="仿宋" w:hAnsi="仿宋" w:eastAsia="仿宋" w:cs="仿宋"/>
          <w:color w:val="auto"/>
          <w:sz w:val="24"/>
          <w:highlight w:val="none"/>
        </w:rPr>
        <w:t>质量和货物和服务均能满足采购文件实质性要求的供应商，</w:t>
      </w:r>
      <w:r>
        <w:rPr>
          <w:rFonts w:hint="eastAsia" w:ascii="仿宋" w:hAnsi="仿宋" w:eastAsia="仿宋" w:cs="仿宋"/>
          <w:color w:val="auto"/>
          <w:sz w:val="24"/>
          <w:highlight w:val="none"/>
          <w:lang w:val="zh-CN"/>
        </w:rPr>
        <w:t>综合比较与评价后，按得分由高到低顺序排列。得分相同的，按报价由低到高顺序排列。得分且投标报价相同的，按技术指标优劣顺序排列</w:t>
      </w:r>
      <w:r>
        <w:rPr>
          <w:rFonts w:hint="eastAsia" w:ascii="仿宋" w:hAnsi="仿宋" w:eastAsia="仿宋" w:cs="仿宋"/>
          <w:b/>
          <w:color w:val="auto"/>
          <w:sz w:val="24"/>
          <w:highlight w:val="none"/>
        </w:rPr>
        <w:t>。</w:t>
      </w:r>
      <w:r>
        <w:rPr>
          <w:rFonts w:hint="eastAsia" w:ascii="仿宋" w:hAnsi="仿宋" w:eastAsia="仿宋" w:cs="仿宋"/>
          <w:color w:val="auto"/>
          <w:sz w:val="24"/>
          <w:highlight w:val="none"/>
          <w:lang w:val="zh-CN"/>
        </w:rPr>
        <w:t>谈判小组将综合得分最高、价格最优、技术指标符合招标要求的供应商确定为</w:t>
      </w:r>
      <w:r>
        <w:rPr>
          <w:rFonts w:hint="eastAsia" w:ascii="仿宋" w:hAnsi="仿宋" w:eastAsia="仿宋" w:cs="仿宋"/>
          <w:color w:val="auto"/>
          <w:sz w:val="24"/>
          <w:highlight w:val="none"/>
        </w:rPr>
        <w:t>预成交</w:t>
      </w:r>
      <w:r>
        <w:rPr>
          <w:rFonts w:hint="eastAsia" w:ascii="仿宋" w:hAnsi="仿宋" w:eastAsia="仿宋" w:cs="仿宋"/>
          <w:color w:val="auto"/>
          <w:sz w:val="24"/>
          <w:highlight w:val="none"/>
          <w:lang w:val="zh-CN"/>
        </w:rPr>
        <w:t>供应商。</w:t>
      </w:r>
    </w:p>
    <w:p w14:paraId="33F9CF8B">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 谈判小组根据谈判过程和结果编写谈判（评审）报告。</w:t>
      </w:r>
    </w:p>
    <w:p w14:paraId="0DA7D4B7">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 预成交</w:t>
      </w:r>
      <w:r>
        <w:rPr>
          <w:rFonts w:hint="eastAsia" w:ascii="仿宋" w:hAnsi="仿宋" w:eastAsia="仿宋" w:cs="仿宋"/>
          <w:color w:val="auto"/>
          <w:sz w:val="24"/>
          <w:highlight w:val="none"/>
          <w:lang w:val="zh-CN"/>
        </w:rPr>
        <w:t>供应商</w:t>
      </w:r>
      <w:r>
        <w:rPr>
          <w:rFonts w:hint="eastAsia" w:ascii="仿宋" w:hAnsi="仿宋" w:eastAsia="仿宋" w:cs="仿宋"/>
          <w:color w:val="auto"/>
          <w:sz w:val="24"/>
          <w:highlight w:val="none"/>
        </w:rPr>
        <w:t>确定且经公示后将向预成交</w:t>
      </w:r>
      <w:r>
        <w:rPr>
          <w:rFonts w:hint="eastAsia" w:ascii="仿宋" w:hAnsi="仿宋" w:eastAsia="仿宋" w:cs="仿宋"/>
          <w:color w:val="auto"/>
          <w:sz w:val="24"/>
          <w:highlight w:val="none"/>
          <w:lang w:val="zh-CN"/>
        </w:rPr>
        <w:t>供应商</w:t>
      </w:r>
      <w:r>
        <w:rPr>
          <w:rFonts w:hint="eastAsia" w:ascii="仿宋" w:hAnsi="仿宋" w:eastAsia="仿宋" w:cs="仿宋"/>
          <w:color w:val="auto"/>
          <w:sz w:val="24"/>
          <w:highlight w:val="none"/>
        </w:rPr>
        <w:t>发出成交通知书，确定为成交供应商。</w:t>
      </w:r>
    </w:p>
    <w:p w14:paraId="6FF5889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 成交通知书对需求方和成交供应商具有同等法律效力。</w:t>
      </w:r>
    </w:p>
    <w:p w14:paraId="24525376">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 成交通知书发出后，需求方或成交供应商拒绝签订合同的，拒绝签订合同的一方应至少向另一方支付补偿金，以及为谈判过程所发生的有关费用和双方商定的其他补偿。</w:t>
      </w:r>
    </w:p>
    <w:p w14:paraId="660E44DD">
      <w:pPr>
        <w:autoSpaceDE w:val="0"/>
        <w:autoSpaceDN w:val="0"/>
        <w:adjustRightInd w:val="0"/>
        <w:snapToGrid w:val="0"/>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21.6 成交通知书发出后，成交供应商除发生法律规定的不能预见、不能避免并不能克服的客观情况外不得放弃或拒绝签订合同的。放弃或拒绝签订合同的，情节严重的在一至三年内不得参加需求方组织的采购活动。</w:t>
      </w:r>
    </w:p>
    <w:p w14:paraId="76194853">
      <w:pPr>
        <w:tabs>
          <w:tab w:val="left" w:pos="1260"/>
        </w:tabs>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 对未成交的供应商不作未成交原因的解释。</w:t>
      </w:r>
    </w:p>
    <w:p w14:paraId="437C7F36">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21.8 所有谈判响应文件都将作为档案保存，不论成交与否，均不退回。</w:t>
      </w:r>
    </w:p>
    <w:p w14:paraId="0DF9195B">
      <w:pPr>
        <w:autoSpaceDE w:val="0"/>
        <w:autoSpaceDN w:val="0"/>
        <w:adjustRightInd w:val="0"/>
        <w:snapToGrid w:val="0"/>
        <w:spacing w:line="360" w:lineRule="auto"/>
        <w:ind w:firstLine="482" w:firstLineChars="200"/>
        <w:outlineLvl w:val="1"/>
        <w:rPr>
          <w:rFonts w:ascii="仿宋" w:hAnsi="仿宋" w:eastAsia="仿宋" w:cs="仿宋"/>
          <w:b/>
          <w:color w:val="auto"/>
          <w:sz w:val="24"/>
          <w:highlight w:val="none"/>
        </w:rPr>
      </w:pPr>
      <w:r>
        <w:rPr>
          <w:rFonts w:hint="eastAsia" w:ascii="仿宋" w:hAnsi="仿宋" w:eastAsia="仿宋" w:cs="仿宋"/>
          <w:b/>
          <w:color w:val="auto"/>
          <w:sz w:val="24"/>
          <w:highlight w:val="none"/>
        </w:rPr>
        <w:t>五、签订合同</w:t>
      </w:r>
    </w:p>
    <w:p w14:paraId="4D99D7CA">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8" w:name="_Toc518485129"/>
      <w:r>
        <w:rPr>
          <w:rFonts w:hint="eastAsia" w:ascii="仿宋" w:hAnsi="仿宋" w:eastAsia="仿宋" w:cs="仿宋"/>
          <w:b/>
          <w:color w:val="auto"/>
          <w:sz w:val="24"/>
          <w:highlight w:val="none"/>
        </w:rPr>
        <w:t>22、签订合同</w:t>
      </w:r>
      <w:bookmarkEnd w:id="78"/>
    </w:p>
    <w:p w14:paraId="60A6EBF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22.1 成交供应商应当自成交通知书发出之日起三十日内，与需求方签订采购合同，所签订的合同不得对竞争性谈判文件和竞争性谈判响应文件作实质性修改。</w:t>
      </w:r>
    </w:p>
    <w:p w14:paraId="3DC75923">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22.2 需求方不得向成交供应商提出任何不合理的要求作为签订合同的条件，不得与成交供应商私下订立背离合同实质性内容的协议。</w:t>
      </w:r>
    </w:p>
    <w:p w14:paraId="17909184">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22.3 成交通知书发出后，需求方改变成交结果或拒绝签订合同的，应至少向成交供应商支付补偿金，以及供应商为参加竞争性谈判所发生的有关费用和双方商定的其他补偿，并承担相应的法律责任。</w:t>
      </w:r>
    </w:p>
    <w:p w14:paraId="5C9D09AA">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22.4 成交供应商因不可抗力或者自身原因不能履行采购合同的，需求方可以视情与排位在成交供应商之后第一位的成交候选供应商签订采购合同，以此类推。</w:t>
      </w:r>
    </w:p>
    <w:p w14:paraId="23910692">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bookmarkStart w:id="79" w:name="_Toc518485130"/>
      <w:r>
        <w:rPr>
          <w:rFonts w:hint="eastAsia" w:ascii="仿宋" w:hAnsi="仿宋" w:eastAsia="仿宋" w:cs="仿宋"/>
          <w:b/>
          <w:color w:val="auto"/>
          <w:sz w:val="24"/>
          <w:highlight w:val="none"/>
          <w:lang w:val="zh-CN"/>
        </w:rPr>
        <w:t>六、询问、质疑、投诉和诚实信用</w:t>
      </w:r>
      <w:bookmarkEnd w:id="72"/>
      <w:bookmarkEnd w:id="73"/>
      <w:bookmarkEnd w:id="79"/>
    </w:p>
    <w:p w14:paraId="62EBE264">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zh-CN"/>
        </w:rPr>
        <w:t>、询问</w:t>
      </w:r>
    </w:p>
    <w:p w14:paraId="14A2699E">
      <w:pPr>
        <w:autoSpaceDE w:val="0"/>
        <w:autoSpaceDN w:val="0"/>
        <w:adjustRightInd w:val="0"/>
        <w:spacing w:line="360" w:lineRule="auto"/>
        <w:ind w:firstLine="480" w:firstLineChars="200"/>
        <w:rPr>
          <w:rFonts w:ascii="仿宋" w:hAnsi="仿宋" w:eastAsia="仿宋" w:cs="仿宋"/>
          <w:b/>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.1 供应商对</w:t>
      </w:r>
      <w:r>
        <w:rPr>
          <w:rFonts w:hint="eastAsia" w:ascii="仿宋" w:hAnsi="仿宋" w:eastAsia="仿宋" w:cs="仿宋"/>
          <w:color w:val="auto"/>
          <w:sz w:val="24"/>
          <w:highlight w:val="none"/>
        </w:rPr>
        <w:t>采购</w:t>
      </w:r>
      <w:r>
        <w:rPr>
          <w:rFonts w:hint="eastAsia" w:ascii="仿宋" w:hAnsi="仿宋" w:eastAsia="仿宋" w:cs="仿宋"/>
          <w:color w:val="auto"/>
          <w:sz w:val="24"/>
          <w:highlight w:val="none"/>
          <w:lang w:val="zh-CN"/>
        </w:rPr>
        <w:t>活动事项有疑问的，可以向需求方提出询问，需求方将在两个工作日内作出答复，但答复的内容不涉及商业秘密</w:t>
      </w:r>
      <w:r>
        <w:rPr>
          <w:rFonts w:hint="eastAsia" w:ascii="仿宋" w:hAnsi="仿宋" w:eastAsia="仿宋" w:cs="仿宋"/>
          <w:b/>
          <w:color w:val="auto"/>
          <w:sz w:val="24"/>
          <w:highlight w:val="none"/>
          <w:lang w:val="zh-CN"/>
        </w:rPr>
        <w:t>。</w:t>
      </w:r>
    </w:p>
    <w:p w14:paraId="66A5FDD6">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zh-CN"/>
        </w:rPr>
        <w:t>、质疑</w:t>
      </w:r>
    </w:p>
    <w:p w14:paraId="57677B01">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 供应商认为采购文件、采购过程和结果使自己的合法权益受到损害的，可以在知道或者应当知道其权益受到损害之日起</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个工作日内，将质疑文件原件送达</w:t>
      </w:r>
      <w:r>
        <w:rPr>
          <w:rFonts w:hint="eastAsia" w:ascii="仿宋" w:hAnsi="仿宋" w:eastAsia="仿宋" w:cs="仿宋"/>
          <w:color w:val="auto"/>
          <w:sz w:val="24"/>
          <w:highlight w:val="none"/>
        </w:rPr>
        <w:t>需求方。</w:t>
      </w:r>
    </w:p>
    <w:p w14:paraId="112962B4">
      <w:pPr>
        <w:autoSpaceDE w:val="0"/>
        <w:autoSpaceDN w:val="0"/>
        <w:adjustRightInd w:val="0"/>
        <w:spacing w:line="360" w:lineRule="auto"/>
        <w:ind w:firstLine="480" w:firstLineChars="200"/>
        <w:rPr>
          <w:rFonts w:ascii="仿宋" w:hAnsi="仿宋" w:eastAsia="仿宋" w:cs="仿宋"/>
          <w:snapToGrid w:val="0"/>
          <w:color w:val="auto"/>
          <w:sz w:val="24"/>
          <w:highlight w:val="none"/>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 质疑文件应包括以下主要内容，并</w:t>
      </w:r>
      <w:r>
        <w:rPr>
          <w:rFonts w:hint="eastAsia" w:ascii="仿宋" w:hAnsi="仿宋" w:eastAsia="仿宋" w:cs="仿宋"/>
          <w:color w:val="auto"/>
          <w:sz w:val="24"/>
          <w:highlight w:val="none"/>
        </w:rPr>
        <w:t>按照“谁主张、谁举证”的原则，附上相关证明材料。否则，需求方不予受理：</w:t>
      </w:r>
    </w:p>
    <w:p w14:paraId="536508B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（1）质疑项目名称、包号、采购公告发布时间、谈判时间；</w:t>
      </w:r>
    </w:p>
    <w:p w14:paraId="26D5594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（2）提起质疑的日期、具体的质疑事项及事实根据（具体条款）；</w:t>
      </w:r>
    </w:p>
    <w:p w14:paraId="7DB0169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（3）认为自己合法权益受到损害或可能受到损害的相关证据材料。质疑相关证明材料中如涉及到产品功能或技术指标的，应出具相关制造商的证明文件（友情提示：</w:t>
      </w:r>
      <w:r>
        <w:rPr>
          <w:rFonts w:hint="eastAsia" w:ascii="仿宋" w:hAnsi="仿宋" w:eastAsia="仿宋" w:cs="仿宋"/>
          <w:color w:val="auto"/>
          <w:sz w:val="24"/>
          <w:highlight w:val="none"/>
        </w:rPr>
        <w:t>供应商全部产品线中没有满足技术需求要求的产品才可以对采购产品提出质疑，并提出</w:t>
      </w:r>
      <w:r>
        <w:rPr>
          <w:rFonts w:hint="eastAsia" w:ascii="仿宋" w:hAnsi="仿宋" w:eastAsia="仿宋" w:cs="仿宋"/>
          <w:color w:val="auto"/>
          <w:sz w:val="24"/>
          <w:highlight w:val="none"/>
          <w:lang w:val="zh-CN"/>
        </w:rPr>
        <w:t>修改理由和修改建议）；</w:t>
      </w:r>
    </w:p>
    <w:p w14:paraId="1E3C88C2">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（4）质疑供应商名称、地址、邮编、联系人、联系电话</w:t>
      </w:r>
      <w:r>
        <w:rPr>
          <w:rFonts w:hint="eastAsia" w:ascii="仿宋" w:hAnsi="仿宋" w:eastAsia="仿宋" w:cs="仿宋"/>
          <w:color w:val="auto"/>
          <w:sz w:val="24"/>
          <w:highlight w:val="none"/>
        </w:rPr>
        <w:t>（包括座机、手机、传真号码等）</w:t>
      </w:r>
      <w:r>
        <w:rPr>
          <w:rFonts w:hint="eastAsia" w:ascii="仿宋" w:hAnsi="仿宋" w:eastAsia="仿宋" w:cs="仿宋"/>
          <w:color w:val="auto"/>
          <w:sz w:val="24"/>
          <w:highlight w:val="none"/>
          <w:lang w:val="zh-CN"/>
        </w:rPr>
        <w:t>；</w:t>
      </w:r>
    </w:p>
    <w:p w14:paraId="1DB95B3C">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（5）质疑文件应当署名，质疑人为自然人的，应当由本人签字并附有效身份证明；质疑人为法人或其他组织的，应当由法定代表人签字并加盖单位公章。</w:t>
      </w:r>
    </w:p>
    <w:p w14:paraId="59528894">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zh-CN"/>
        </w:rPr>
        <w:t>（6）供应商委托代理质疑的，应当向被质疑人提交授权委托书，并载明委托代理的具体权限和事项。</w:t>
      </w:r>
    </w:p>
    <w:p w14:paraId="2C2EE19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 质疑</w:t>
      </w:r>
      <w:r>
        <w:rPr>
          <w:rFonts w:hint="eastAsia" w:ascii="仿宋" w:hAnsi="仿宋" w:eastAsia="仿宋" w:cs="仿宋"/>
          <w:color w:val="auto"/>
          <w:sz w:val="24"/>
          <w:highlight w:val="none"/>
        </w:rPr>
        <w:t>供应商是指直接参加本项目采购活动的供应商；对采购文件提出质疑的，应自供应商获得采购文件之日起计算，且应当在谈判截止之日前提出；对采购过程提出质疑的，自采购程序环节结束之日起计算；对采购结果提出质疑的，自采购结果公告之日起计算。</w:t>
      </w:r>
    </w:p>
    <w:p w14:paraId="0EB823D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24.4 需求方在收到供应商的书面质疑后将及时组织调查核实，在3</w:t>
      </w:r>
      <w:r>
        <w:rPr>
          <w:rFonts w:hint="eastAsia" w:ascii="仿宋" w:hAnsi="仿宋" w:eastAsia="仿宋" w:cs="仿宋"/>
          <w:color w:val="auto"/>
          <w:sz w:val="24"/>
          <w:highlight w:val="none"/>
          <w:lang w:val="zh-CN"/>
        </w:rPr>
        <w:t>个工作日内作出答复，并以书面形式通知质疑供应商和其他有关供应商，答复的内容不涉及商业秘密。</w:t>
      </w:r>
      <w:r>
        <w:rPr>
          <w:rFonts w:hint="eastAsia" w:ascii="仿宋" w:hAnsi="仿宋" w:eastAsia="仿宋" w:cs="仿宋"/>
          <w:color w:val="auto"/>
          <w:sz w:val="24"/>
          <w:highlight w:val="none"/>
        </w:rPr>
        <w:t>遵循“谁过错谁负担”的原则，有过错的一方承担调查论证费用。</w:t>
      </w:r>
    </w:p>
    <w:p w14:paraId="49E5859A">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zh-CN"/>
        </w:rPr>
        <w:t>、诚实信用</w:t>
      </w:r>
    </w:p>
    <w:p w14:paraId="74D64C3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.1 供应商之间不得相互串通谈判报价，不得妨碍其他供应商的公平竞争，不得损害需求方和其他供应商的合法权益。</w:t>
      </w:r>
    </w:p>
    <w:p w14:paraId="176F7517">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.2 供应商不得以向</w:t>
      </w:r>
      <w:r>
        <w:rPr>
          <w:rFonts w:hint="eastAsia" w:ascii="仿宋" w:hAnsi="仿宋" w:eastAsia="仿宋" w:cs="仿宋"/>
          <w:color w:val="auto"/>
          <w:sz w:val="24"/>
          <w:highlight w:val="none"/>
        </w:rPr>
        <w:t>需求方</w:t>
      </w:r>
      <w:r>
        <w:rPr>
          <w:rFonts w:hint="eastAsia" w:ascii="仿宋" w:hAnsi="仿宋" w:eastAsia="仿宋" w:cs="仿宋"/>
          <w:color w:val="auto"/>
          <w:sz w:val="24"/>
          <w:highlight w:val="none"/>
          <w:lang w:val="zh-CN"/>
        </w:rPr>
        <w:t>工作人员、</w:t>
      </w:r>
      <w:r>
        <w:rPr>
          <w:rFonts w:hint="eastAsia" w:ascii="仿宋" w:hAnsi="仿宋" w:eastAsia="仿宋" w:cs="仿宋"/>
          <w:color w:val="auto"/>
          <w:sz w:val="24"/>
          <w:highlight w:val="none"/>
        </w:rPr>
        <w:t>谈判小组</w:t>
      </w:r>
      <w:r>
        <w:rPr>
          <w:rFonts w:hint="eastAsia" w:ascii="仿宋" w:hAnsi="仿宋" w:eastAsia="仿宋" w:cs="仿宋"/>
          <w:color w:val="auto"/>
          <w:sz w:val="24"/>
          <w:highlight w:val="none"/>
          <w:lang w:val="zh-CN"/>
        </w:rPr>
        <w:t>成员行贿或者采取其他不正当手段谋取中标。经查实供应商有此行为的，将按照</w:t>
      </w:r>
      <w:r>
        <w:rPr>
          <w:rFonts w:hint="eastAsia" w:ascii="仿宋" w:hAnsi="仿宋" w:eastAsia="仿宋" w:cs="仿宋"/>
          <w:color w:val="auto"/>
          <w:sz w:val="24"/>
          <w:highlight w:val="none"/>
        </w:rPr>
        <w:t>有关规定处理。</w:t>
      </w:r>
    </w:p>
    <w:p w14:paraId="32282A14">
      <w:pPr>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.3 供应商不得虚假质疑和恶意质疑，并对质疑内容的真实性承担责任。</w:t>
      </w:r>
    </w:p>
    <w:p w14:paraId="1103B2AC">
      <w:pPr>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.4 供应商不得虚假承诺，否则，按照提供虚假材料谋取</w:t>
      </w:r>
      <w:r>
        <w:rPr>
          <w:rFonts w:hint="eastAsia" w:ascii="仿宋" w:hAnsi="仿宋" w:eastAsia="仿宋" w:cs="仿宋"/>
          <w:color w:val="auto"/>
          <w:sz w:val="24"/>
          <w:highlight w:val="none"/>
        </w:rPr>
        <w:t>采购</w:t>
      </w:r>
      <w:r>
        <w:rPr>
          <w:rFonts w:hint="eastAsia" w:ascii="仿宋" w:hAnsi="仿宋" w:eastAsia="仿宋" w:cs="仿宋"/>
          <w:color w:val="auto"/>
          <w:sz w:val="24"/>
          <w:highlight w:val="none"/>
          <w:lang w:val="zh-CN"/>
        </w:rPr>
        <w:t>成交处理。</w:t>
      </w:r>
    </w:p>
    <w:p w14:paraId="04E1EF61">
      <w:pPr>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.5 供应商应自觉遵守谈判、</w:t>
      </w:r>
      <w:r>
        <w:rPr>
          <w:rFonts w:hint="eastAsia" w:ascii="仿宋" w:hAnsi="仿宋" w:eastAsia="仿宋" w:cs="仿宋"/>
          <w:color w:val="auto"/>
          <w:sz w:val="24"/>
          <w:highlight w:val="none"/>
        </w:rPr>
        <w:t>评审</w:t>
      </w:r>
      <w:r>
        <w:rPr>
          <w:rFonts w:hint="eastAsia" w:ascii="仿宋" w:hAnsi="仿宋" w:eastAsia="仿宋" w:cs="仿宋"/>
          <w:color w:val="auto"/>
          <w:sz w:val="24"/>
          <w:highlight w:val="none"/>
          <w:lang w:val="zh-CN"/>
        </w:rPr>
        <w:t>纪律，不得扰乱谈判</w:t>
      </w:r>
      <w:r>
        <w:rPr>
          <w:rFonts w:hint="eastAsia" w:ascii="仿宋" w:hAnsi="仿宋" w:eastAsia="仿宋" w:cs="仿宋"/>
          <w:color w:val="auto"/>
          <w:sz w:val="24"/>
          <w:highlight w:val="none"/>
        </w:rPr>
        <w:t>评审</w:t>
      </w:r>
      <w:r>
        <w:rPr>
          <w:rFonts w:hint="eastAsia" w:ascii="仿宋" w:hAnsi="仿宋" w:eastAsia="仿宋" w:cs="仿宋"/>
          <w:color w:val="auto"/>
          <w:sz w:val="24"/>
          <w:highlight w:val="none"/>
          <w:lang w:val="zh-CN"/>
        </w:rPr>
        <w:t>现场秩序。</w:t>
      </w:r>
    </w:p>
    <w:p w14:paraId="3A17340E">
      <w:pPr>
        <w:autoSpaceDE w:val="0"/>
        <w:autoSpaceDN w:val="0"/>
        <w:adjustRightInd w:val="0"/>
        <w:spacing w:line="360" w:lineRule="auto"/>
        <w:ind w:firstLine="723"/>
        <w:jc w:val="center"/>
        <w:outlineLvl w:val="0"/>
        <w:rPr>
          <w:rFonts w:ascii="黑体" w:hAnsi="黑体" w:eastAsia="黑体" w:cs="黑体"/>
          <w:b/>
          <w:color w:val="auto"/>
          <w:sz w:val="36"/>
          <w:szCs w:val="36"/>
          <w:highlight w:val="none"/>
        </w:rPr>
      </w:pPr>
      <w:r>
        <w:rPr>
          <w:rFonts w:ascii="黑体" w:eastAsia="黑体"/>
          <w:b/>
          <w:color w:val="auto"/>
          <w:sz w:val="36"/>
          <w:szCs w:val="36"/>
          <w:highlight w:val="none"/>
        </w:rPr>
        <w:br w:type="page"/>
      </w:r>
      <w:bookmarkStart w:id="80" w:name="_Toc11493"/>
      <w:bookmarkStart w:id="81" w:name="_Toc2357"/>
      <w:bookmarkStart w:id="82" w:name="_Toc503948067"/>
      <w:bookmarkStart w:id="83" w:name="_Toc518485131"/>
      <w:bookmarkStart w:id="84" w:name="_Toc13104"/>
      <w:bookmarkStart w:id="85" w:name="_Toc503948068"/>
      <w:bookmarkStart w:id="86" w:name="_Toc518485133"/>
      <w:bookmarkStart w:id="87" w:name="_Toc400722722"/>
      <w:bookmarkStart w:id="88" w:name="_Toc402966376"/>
      <w:r>
        <w:rPr>
          <w:rFonts w:hint="eastAsia" w:ascii="黑体" w:hAnsi="黑体" w:eastAsia="黑体" w:cs="黑体"/>
          <w:b/>
          <w:bCs/>
          <w:color w:val="auto"/>
          <w:kern w:val="44"/>
          <w:sz w:val="36"/>
          <w:szCs w:val="36"/>
          <w:highlight w:val="none"/>
        </w:rPr>
        <w:t xml:space="preserve">第三章 </w:t>
      </w:r>
      <w:r>
        <w:rPr>
          <w:rFonts w:hint="eastAsia" w:ascii="黑体" w:hAnsi="黑体" w:eastAsia="黑体" w:cs="黑体"/>
          <w:b/>
          <w:bCs/>
          <w:color w:val="auto"/>
          <w:kern w:val="44"/>
          <w:sz w:val="36"/>
          <w:szCs w:val="36"/>
          <w:highlight w:val="none"/>
          <w:lang w:val="zh-CN"/>
        </w:rPr>
        <w:t>谈判评审标准</w:t>
      </w:r>
      <w:bookmarkEnd w:id="80"/>
      <w:bookmarkEnd w:id="81"/>
      <w:bookmarkEnd w:id="82"/>
      <w:bookmarkEnd w:id="83"/>
      <w:bookmarkEnd w:id="84"/>
    </w:p>
    <w:p w14:paraId="2209D510">
      <w:pPr>
        <w:autoSpaceDE w:val="0"/>
        <w:autoSpaceDN w:val="0"/>
        <w:adjustRightInd w:val="0"/>
        <w:spacing w:line="360" w:lineRule="auto"/>
        <w:ind w:firstLine="480" w:firstLineChars="200"/>
        <w:rPr>
          <w:rFonts w:ascii="仿宋" w:hAnsi="仿宋" w:eastAsia="仿宋" w:cs="仿宋"/>
          <w:color w:val="auto"/>
          <w:sz w:val="24"/>
          <w:highlight w:val="none"/>
        </w:rPr>
      </w:pPr>
      <w:bookmarkStart w:id="89" w:name="_Toc518485132"/>
      <w:r>
        <w:rPr>
          <w:rFonts w:hint="eastAsia" w:ascii="仿宋" w:hAnsi="仿宋" w:eastAsia="仿宋" w:cs="仿宋"/>
          <w:bCs/>
          <w:color w:val="auto"/>
          <w:kern w:val="0"/>
          <w:sz w:val="24"/>
          <w:highlight w:val="none"/>
        </w:rPr>
        <w:t>本项目采用综合评分法，总分为100分，</w:t>
      </w:r>
      <w:r>
        <w:rPr>
          <w:rFonts w:hint="eastAsia" w:ascii="仿宋" w:hAnsi="仿宋" w:eastAsia="仿宋" w:cs="仿宋"/>
          <w:color w:val="auto"/>
          <w:sz w:val="24"/>
          <w:highlight w:val="none"/>
        </w:rPr>
        <w:t>谈判小组按评定后的得分由高到低对投标供应商顺序排列，选择排名靠前且技术分不低于42.5分（总分50分）的供应商</w:t>
      </w:r>
      <w:bookmarkEnd w:id="89"/>
      <w:r>
        <w:rPr>
          <w:rFonts w:hint="eastAsia" w:ascii="仿宋" w:hAnsi="仿宋" w:eastAsia="仿宋" w:cs="仿宋"/>
          <w:color w:val="auto"/>
          <w:sz w:val="24"/>
          <w:highlight w:val="none"/>
        </w:rPr>
        <w:t>进入第二轮谈判</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当</w:t>
      </w:r>
      <w:r>
        <w:rPr>
          <w:rFonts w:hint="eastAsia" w:ascii="仿宋" w:hAnsi="仿宋" w:eastAsia="仿宋" w:cs="仿宋"/>
          <w:color w:val="auto"/>
          <w:sz w:val="24"/>
          <w:highlight w:val="none"/>
        </w:rPr>
        <w:t>技术分不低于42.5分</w:t>
      </w:r>
      <w:r>
        <w:rPr>
          <w:rFonts w:hint="eastAsia" w:ascii="仿宋" w:hAnsi="仿宋" w:eastAsia="仿宋" w:cs="仿宋"/>
          <w:color w:val="auto"/>
          <w:sz w:val="24"/>
          <w:highlight w:val="none"/>
          <w:lang w:val="en-US" w:eastAsia="zh-CN"/>
        </w:rPr>
        <w:t>的供应商不低于5家时，选择排名前3进入第二轮；当</w:t>
      </w:r>
      <w:r>
        <w:rPr>
          <w:rFonts w:hint="eastAsia" w:ascii="仿宋" w:hAnsi="仿宋" w:eastAsia="仿宋" w:cs="仿宋"/>
          <w:color w:val="auto"/>
          <w:sz w:val="24"/>
          <w:highlight w:val="none"/>
        </w:rPr>
        <w:t>技术分不低于42.5</w:t>
      </w:r>
      <w:r>
        <w:rPr>
          <w:rFonts w:ascii="仿宋" w:hAnsi="仿宋" w:eastAsia="仿宋" w:cs="仿宋"/>
          <w:color w:val="auto"/>
          <w:sz w:val="24"/>
          <w:highlight w:val="none"/>
        </w:rPr>
        <w:t>分</w:t>
      </w:r>
      <w:r>
        <w:rPr>
          <w:rFonts w:hint="eastAsia" w:ascii="仿宋" w:hAnsi="仿宋" w:eastAsia="仿宋" w:cs="仿宋"/>
          <w:color w:val="auto"/>
          <w:sz w:val="24"/>
          <w:highlight w:val="none"/>
          <w:lang w:val="en-US" w:eastAsia="zh-CN"/>
        </w:rPr>
        <w:t>的供应商小于5家时，选择排名前2进入第二轮</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谈判小组认为供应商的报价明显低于其他通过资格审查投标供应商的报价，有可能影响服务质量或者不能诚信履约的，有权要求其在合理的时间内提供书面说明，必要时提交相关证明材料；供应商不能证明其报价合理性的，将作为无效响应处理。</w:t>
      </w:r>
    </w:p>
    <w:p w14:paraId="16965CD0">
      <w:pPr>
        <w:spacing w:line="360" w:lineRule="auto"/>
        <w:ind w:firstLine="482"/>
        <w:outlineLvl w:val="1"/>
        <w:rPr>
          <w:rFonts w:ascii="仿宋" w:hAnsi="仿宋" w:eastAsia="仿宋" w:cs="仿宋"/>
          <w:color w:val="auto"/>
          <w:kern w:val="0"/>
          <w:sz w:val="24"/>
          <w:highlight w:val="none"/>
        </w:rPr>
      </w:pPr>
      <w:r>
        <w:rPr>
          <w:rFonts w:hint="eastAsia" w:ascii="仿宋" w:hAnsi="仿宋" w:eastAsia="仿宋" w:cs="仿宋"/>
          <w:b/>
          <w:color w:val="auto"/>
          <w:sz w:val="24"/>
          <w:highlight w:val="none"/>
        </w:rPr>
        <w:t>一、评分细则</w:t>
      </w:r>
    </w:p>
    <w:tbl>
      <w:tblPr>
        <w:tblStyle w:val="42"/>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320"/>
        <w:gridCol w:w="6150"/>
        <w:gridCol w:w="893"/>
      </w:tblGrid>
      <w:tr w14:paraId="0E9B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2" w:type="dxa"/>
            <w:vAlign w:val="center"/>
          </w:tcPr>
          <w:p w14:paraId="16C444B5">
            <w:pPr>
              <w:pStyle w:val="38"/>
              <w:adjustRightInd w:val="0"/>
              <w:snapToGrid w:val="0"/>
              <w:spacing w:before="0" w:beforeAutospacing="0" w:after="0" w:afterAutospacing="0"/>
              <w:ind w:firstLine="482"/>
              <w:jc w:val="center"/>
              <w:rPr>
                <w:rFonts w:ascii="仿宋" w:hAnsi="仿宋" w:eastAsia="仿宋" w:cs="仿宋"/>
                <w:b/>
                <w:color w:val="auto"/>
                <w:kern w:val="2"/>
                <w:highlight w:val="none"/>
              </w:rPr>
            </w:pPr>
            <w:r>
              <w:rPr>
                <w:rFonts w:hint="eastAsia" w:ascii="仿宋" w:hAnsi="仿宋" w:eastAsia="仿宋" w:cs="仿宋"/>
                <w:b/>
                <w:color w:val="auto"/>
                <w:kern w:val="2"/>
                <w:highlight w:val="none"/>
              </w:rPr>
              <w:t>序号</w:t>
            </w:r>
          </w:p>
        </w:tc>
        <w:tc>
          <w:tcPr>
            <w:tcW w:w="1320" w:type="dxa"/>
            <w:vAlign w:val="center"/>
          </w:tcPr>
          <w:p w14:paraId="4E81712B">
            <w:pPr>
              <w:pStyle w:val="38"/>
              <w:adjustRightInd w:val="0"/>
              <w:snapToGrid w:val="0"/>
              <w:spacing w:before="0" w:beforeAutospacing="0" w:after="0" w:afterAutospacing="0"/>
              <w:jc w:val="center"/>
              <w:rPr>
                <w:rFonts w:ascii="仿宋" w:hAnsi="仿宋" w:eastAsia="仿宋" w:cs="仿宋"/>
                <w:b/>
                <w:color w:val="auto"/>
                <w:kern w:val="2"/>
                <w:highlight w:val="none"/>
              </w:rPr>
            </w:pPr>
            <w:r>
              <w:rPr>
                <w:rFonts w:hint="eastAsia" w:ascii="仿宋" w:hAnsi="仿宋" w:eastAsia="仿宋" w:cs="仿宋"/>
                <w:b/>
                <w:color w:val="auto"/>
                <w:kern w:val="2"/>
                <w:highlight w:val="none"/>
              </w:rPr>
              <w:t>评分因素</w:t>
            </w:r>
          </w:p>
        </w:tc>
        <w:tc>
          <w:tcPr>
            <w:tcW w:w="6150" w:type="dxa"/>
            <w:vAlign w:val="center"/>
          </w:tcPr>
          <w:p w14:paraId="344ED462">
            <w:pPr>
              <w:pStyle w:val="38"/>
              <w:adjustRightInd w:val="0"/>
              <w:snapToGrid w:val="0"/>
              <w:spacing w:before="0" w:beforeAutospacing="0" w:after="0" w:afterAutospacing="0"/>
              <w:ind w:firstLine="482"/>
              <w:jc w:val="center"/>
              <w:rPr>
                <w:rFonts w:ascii="仿宋" w:hAnsi="仿宋" w:eastAsia="仿宋" w:cs="仿宋"/>
                <w:b/>
                <w:color w:val="auto"/>
                <w:kern w:val="2"/>
                <w:highlight w:val="none"/>
              </w:rPr>
            </w:pPr>
            <w:r>
              <w:rPr>
                <w:rFonts w:hint="eastAsia" w:ascii="仿宋" w:hAnsi="仿宋" w:eastAsia="仿宋" w:cs="仿宋"/>
                <w:b/>
                <w:color w:val="auto"/>
                <w:kern w:val="2"/>
                <w:highlight w:val="none"/>
              </w:rPr>
              <w:t>评审规则</w:t>
            </w:r>
          </w:p>
        </w:tc>
        <w:tc>
          <w:tcPr>
            <w:tcW w:w="893" w:type="dxa"/>
            <w:vAlign w:val="center"/>
          </w:tcPr>
          <w:p w14:paraId="4CA56F53">
            <w:pPr>
              <w:pStyle w:val="38"/>
              <w:adjustRightInd w:val="0"/>
              <w:snapToGrid w:val="0"/>
              <w:spacing w:before="0" w:beforeAutospacing="0" w:after="0" w:afterAutospacing="0"/>
              <w:jc w:val="center"/>
              <w:rPr>
                <w:rFonts w:ascii="仿宋" w:hAnsi="仿宋" w:eastAsia="仿宋" w:cs="仿宋"/>
                <w:b/>
                <w:color w:val="auto"/>
                <w:kern w:val="2"/>
                <w:highlight w:val="none"/>
              </w:rPr>
            </w:pPr>
            <w:r>
              <w:rPr>
                <w:rFonts w:hint="eastAsia" w:ascii="仿宋" w:hAnsi="仿宋" w:eastAsia="仿宋" w:cs="仿宋"/>
                <w:b/>
                <w:color w:val="auto"/>
                <w:kern w:val="2"/>
                <w:highlight w:val="none"/>
              </w:rPr>
              <w:t>分值</w:t>
            </w:r>
          </w:p>
        </w:tc>
      </w:tr>
      <w:tr w14:paraId="6082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12" w:type="dxa"/>
            <w:vAlign w:val="center"/>
          </w:tcPr>
          <w:p w14:paraId="5BCA8D45">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1</w:t>
            </w:r>
          </w:p>
        </w:tc>
        <w:tc>
          <w:tcPr>
            <w:tcW w:w="1320" w:type="dxa"/>
            <w:vAlign w:val="center"/>
          </w:tcPr>
          <w:p w14:paraId="2C9AE436">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 xml:space="preserve">价格   </w:t>
            </w:r>
            <w:r>
              <w:rPr>
                <w:rFonts w:hint="eastAsia" w:ascii="仿宋" w:hAnsi="仿宋" w:eastAsia="仿宋" w:cs="仿宋"/>
                <w:color w:val="auto"/>
                <w:highlight w:val="none"/>
              </w:rPr>
              <w:t>（30分）</w:t>
            </w:r>
          </w:p>
        </w:tc>
        <w:tc>
          <w:tcPr>
            <w:tcW w:w="6150" w:type="dxa"/>
            <w:vAlign w:val="center"/>
          </w:tcPr>
          <w:p w14:paraId="2A623442">
            <w:pP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最低价法：供应商得分=当前谈判轮次最低有效报价/当前供应商报价*30（小数点保留两位）。</w:t>
            </w:r>
          </w:p>
        </w:tc>
        <w:tc>
          <w:tcPr>
            <w:tcW w:w="893" w:type="dxa"/>
            <w:vAlign w:val="center"/>
          </w:tcPr>
          <w:p w14:paraId="16734B6B">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30分</w:t>
            </w:r>
          </w:p>
        </w:tc>
      </w:tr>
      <w:tr w14:paraId="58A5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restart"/>
            <w:vAlign w:val="center"/>
          </w:tcPr>
          <w:p w14:paraId="24F8AA4D">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2</w:t>
            </w:r>
          </w:p>
        </w:tc>
        <w:tc>
          <w:tcPr>
            <w:tcW w:w="1320" w:type="dxa"/>
            <w:vMerge w:val="restart"/>
            <w:vAlign w:val="center"/>
          </w:tcPr>
          <w:p w14:paraId="28D5E740">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技术   （50分）</w:t>
            </w:r>
          </w:p>
        </w:tc>
        <w:tc>
          <w:tcPr>
            <w:tcW w:w="6150" w:type="dxa"/>
            <w:shd w:val="clear" w:color="auto" w:fill="auto"/>
            <w:vAlign w:val="center"/>
          </w:tcPr>
          <w:p w14:paraId="4B3A2D2B">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2.1 总体概述：</w:t>
            </w:r>
          </w:p>
          <w:p w14:paraId="2E9305DD">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对项目总体有深刻认识，表述清晰、完整、严谨、</w:t>
            </w:r>
          </w:p>
          <w:p w14:paraId="3DF1EAA2">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措施先进、具体，服务阶段划分呼应总体表述，划分清晰、合理的，得6-8分；</w:t>
            </w:r>
          </w:p>
          <w:p w14:paraId="3C439ED1">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对项目总体表述基本清晰及合理的，得4-5分；</w:t>
            </w:r>
          </w:p>
          <w:p w14:paraId="3F1000CA">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对项目总体表述清晰一般及合理性一般的，得2-3分；</w:t>
            </w:r>
          </w:p>
          <w:p w14:paraId="77C0C95E">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对项目总体表述不清晰及内容欠缺的，得1分；</w:t>
            </w:r>
          </w:p>
          <w:p w14:paraId="402E8672">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0998C846">
            <w:pPr>
              <w:pStyle w:val="38"/>
              <w:adjustRightInd w:val="0"/>
              <w:snapToGrid w:val="0"/>
              <w:spacing w:beforeAutospacing="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8分</w:t>
            </w:r>
          </w:p>
        </w:tc>
      </w:tr>
      <w:tr w14:paraId="6A5D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612" w:type="dxa"/>
            <w:vMerge w:val="continue"/>
            <w:vAlign w:val="center"/>
          </w:tcPr>
          <w:p w14:paraId="58E4AF77">
            <w:pPr>
              <w:pStyle w:val="38"/>
              <w:adjustRightInd w:val="0"/>
              <w:snapToGrid w:val="0"/>
              <w:spacing w:before="0" w:beforeAutospacing="0" w:after="0" w:afterAutospacing="0"/>
              <w:rPr>
                <w:rFonts w:ascii="仿宋" w:hAnsi="仿宋" w:eastAsia="仿宋" w:cs="仿宋"/>
                <w:color w:val="auto"/>
                <w:kern w:val="2"/>
                <w:highlight w:val="none"/>
              </w:rPr>
            </w:pPr>
          </w:p>
        </w:tc>
        <w:tc>
          <w:tcPr>
            <w:tcW w:w="1320" w:type="dxa"/>
            <w:vMerge w:val="continue"/>
            <w:vAlign w:val="center"/>
          </w:tcPr>
          <w:p w14:paraId="0DFEC871">
            <w:pPr>
              <w:jc w:val="center"/>
              <w:rPr>
                <w:rFonts w:ascii="仿宋" w:hAnsi="仿宋" w:eastAsia="仿宋" w:cs="仿宋"/>
                <w:color w:val="auto"/>
                <w:sz w:val="24"/>
                <w:highlight w:val="none"/>
              </w:rPr>
            </w:pPr>
          </w:p>
        </w:tc>
        <w:tc>
          <w:tcPr>
            <w:tcW w:w="6150" w:type="dxa"/>
            <w:shd w:val="clear" w:color="auto" w:fill="auto"/>
            <w:vAlign w:val="center"/>
          </w:tcPr>
          <w:p w14:paraId="03709992">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2.2 方案完整性与合理性：</w:t>
            </w:r>
          </w:p>
          <w:p w14:paraId="24511B68">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内容贴合需求，详尽合理、针对性强的，得16-20分；</w:t>
            </w:r>
          </w:p>
          <w:p w14:paraId="7FF37BBF">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内容基本贴合需求、具备较强的针对性和可操作性的，得10-15分；</w:t>
            </w:r>
          </w:p>
          <w:p w14:paraId="14AF6ADF">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内容一般，针对性和可操作性一般的，得4-9分；</w:t>
            </w:r>
          </w:p>
          <w:p w14:paraId="6465E60B">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内容较差，无针对性和可操作性的，得1-3分；</w:t>
            </w:r>
          </w:p>
          <w:p w14:paraId="712E4591">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395DCFD7">
            <w:pPr>
              <w:pStyle w:val="38"/>
              <w:adjustRightInd w:val="0"/>
              <w:snapToGrid w:val="0"/>
              <w:spacing w:beforeAutospacing="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20分</w:t>
            </w:r>
          </w:p>
        </w:tc>
      </w:tr>
      <w:tr w14:paraId="3656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612" w:type="dxa"/>
            <w:vMerge w:val="continue"/>
            <w:vAlign w:val="center"/>
          </w:tcPr>
          <w:p w14:paraId="1E9419DC">
            <w:pPr>
              <w:pStyle w:val="38"/>
              <w:adjustRightInd w:val="0"/>
              <w:snapToGrid w:val="0"/>
              <w:spacing w:before="0" w:beforeAutospacing="0" w:after="0" w:afterAutospacing="0"/>
              <w:rPr>
                <w:rFonts w:ascii="仿宋" w:hAnsi="仿宋" w:eastAsia="仿宋" w:cs="仿宋"/>
                <w:color w:val="auto"/>
                <w:kern w:val="2"/>
                <w:highlight w:val="none"/>
              </w:rPr>
            </w:pPr>
          </w:p>
        </w:tc>
        <w:tc>
          <w:tcPr>
            <w:tcW w:w="1320" w:type="dxa"/>
            <w:vMerge w:val="continue"/>
            <w:vAlign w:val="center"/>
          </w:tcPr>
          <w:p w14:paraId="79F8C073">
            <w:pPr>
              <w:jc w:val="center"/>
              <w:rPr>
                <w:rFonts w:ascii="仿宋" w:hAnsi="仿宋" w:eastAsia="仿宋" w:cs="仿宋"/>
                <w:color w:val="auto"/>
                <w:sz w:val="24"/>
                <w:highlight w:val="none"/>
              </w:rPr>
            </w:pPr>
          </w:p>
        </w:tc>
        <w:tc>
          <w:tcPr>
            <w:tcW w:w="6150" w:type="dxa"/>
            <w:shd w:val="clear" w:color="auto" w:fill="auto"/>
            <w:vAlign w:val="center"/>
          </w:tcPr>
          <w:p w14:paraId="494A3829">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2.3 创新性与可行性：</w:t>
            </w:r>
          </w:p>
          <w:p w14:paraId="620BA078">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相关材料选型、设计具备创新性，充分考虑施工复杂度的，得8-10分；</w:t>
            </w:r>
          </w:p>
          <w:p w14:paraId="334EAC51">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技术方案可落地，得5-7分；</w:t>
            </w:r>
          </w:p>
          <w:p w14:paraId="0F0DCD32">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方案一般得2-4分；</w:t>
            </w:r>
          </w:p>
          <w:p w14:paraId="312CF246">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方案较差，得1分；</w:t>
            </w:r>
          </w:p>
          <w:p w14:paraId="797B067A">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71BDD9CF">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10分</w:t>
            </w:r>
          </w:p>
        </w:tc>
      </w:tr>
      <w:tr w14:paraId="0224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continue"/>
            <w:vAlign w:val="center"/>
          </w:tcPr>
          <w:p w14:paraId="54EF93AE">
            <w:pPr>
              <w:pStyle w:val="38"/>
              <w:adjustRightInd w:val="0"/>
              <w:snapToGrid w:val="0"/>
              <w:spacing w:before="0" w:beforeAutospacing="0" w:after="0" w:afterAutospacing="0"/>
              <w:rPr>
                <w:rFonts w:ascii="仿宋" w:hAnsi="仿宋" w:eastAsia="仿宋" w:cs="仿宋"/>
                <w:color w:val="auto"/>
                <w:kern w:val="2"/>
                <w:highlight w:val="none"/>
              </w:rPr>
            </w:pPr>
          </w:p>
        </w:tc>
        <w:tc>
          <w:tcPr>
            <w:tcW w:w="1320" w:type="dxa"/>
            <w:vMerge w:val="continue"/>
            <w:vAlign w:val="center"/>
          </w:tcPr>
          <w:p w14:paraId="4B1FD2B6">
            <w:pPr>
              <w:jc w:val="center"/>
              <w:rPr>
                <w:rFonts w:ascii="仿宋" w:hAnsi="仿宋" w:eastAsia="仿宋" w:cs="仿宋"/>
                <w:color w:val="auto"/>
                <w:sz w:val="24"/>
                <w:highlight w:val="none"/>
              </w:rPr>
            </w:pPr>
          </w:p>
        </w:tc>
        <w:tc>
          <w:tcPr>
            <w:tcW w:w="6150" w:type="dxa"/>
            <w:shd w:val="clear" w:color="auto" w:fill="auto"/>
            <w:vAlign w:val="center"/>
          </w:tcPr>
          <w:p w14:paraId="28E048A0">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2.4 进度计划和各阶段进度的保证措施：</w:t>
            </w:r>
          </w:p>
          <w:p w14:paraId="4580890A">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关键思路清晰、准确、完整，计划编制合理可行，关键节点的控制措施有力、合理、可行，得6-7分；</w:t>
            </w:r>
          </w:p>
          <w:p w14:paraId="426CB487">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进度计划和各阶段进度的保证措施基本清晰合理可行的，得4-5分；</w:t>
            </w:r>
          </w:p>
          <w:p w14:paraId="71EE21FF">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进度计划和各阶段进度的保证措施一般的，得2-3分；</w:t>
            </w:r>
          </w:p>
          <w:p w14:paraId="58CAF567">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进度计划和各阶段进度的保证措施较差的，得1分；</w:t>
            </w:r>
          </w:p>
          <w:p w14:paraId="23072816">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12CEA736">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7分</w:t>
            </w:r>
          </w:p>
        </w:tc>
      </w:tr>
      <w:tr w14:paraId="60ED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continue"/>
            <w:vAlign w:val="center"/>
          </w:tcPr>
          <w:p w14:paraId="55A8F175">
            <w:pPr>
              <w:pStyle w:val="38"/>
              <w:adjustRightInd w:val="0"/>
              <w:snapToGrid w:val="0"/>
              <w:spacing w:before="0" w:beforeAutospacing="0" w:after="0" w:afterAutospacing="0"/>
              <w:rPr>
                <w:rFonts w:ascii="仿宋" w:hAnsi="仿宋" w:eastAsia="仿宋" w:cs="仿宋"/>
                <w:color w:val="auto"/>
                <w:kern w:val="2"/>
                <w:highlight w:val="none"/>
              </w:rPr>
            </w:pPr>
          </w:p>
        </w:tc>
        <w:tc>
          <w:tcPr>
            <w:tcW w:w="1320" w:type="dxa"/>
            <w:vMerge w:val="continue"/>
            <w:vAlign w:val="center"/>
          </w:tcPr>
          <w:p w14:paraId="1BDD90C2">
            <w:pPr>
              <w:jc w:val="center"/>
              <w:rPr>
                <w:rFonts w:ascii="仿宋" w:hAnsi="仿宋" w:eastAsia="仿宋" w:cs="仿宋"/>
                <w:color w:val="auto"/>
                <w:sz w:val="24"/>
                <w:highlight w:val="none"/>
              </w:rPr>
            </w:pPr>
          </w:p>
        </w:tc>
        <w:tc>
          <w:tcPr>
            <w:tcW w:w="6150" w:type="dxa"/>
            <w:vAlign w:val="center"/>
          </w:tcPr>
          <w:p w14:paraId="1C3C7579">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2.5 质量及安全保障措施：</w:t>
            </w:r>
          </w:p>
          <w:p w14:paraId="19658B35">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质量及安全措施符合规范要求，各项措施方法可靠、详尽，有质量及安全保证承诺的得4-5分；</w:t>
            </w:r>
          </w:p>
          <w:p w14:paraId="638EDEC8">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质量及安全措施较合理可行，可基本满足项目要求的得3分；</w:t>
            </w:r>
          </w:p>
          <w:p w14:paraId="6AFC03A5">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质量及安全措施描述可行性一般的，得2分；</w:t>
            </w:r>
          </w:p>
          <w:p w14:paraId="7B5C4577">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质量及安全措施描述较差的得1分；</w:t>
            </w:r>
          </w:p>
          <w:p w14:paraId="0CF808E9">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27BBE202">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5分</w:t>
            </w:r>
          </w:p>
        </w:tc>
      </w:tr>
      <w:tr w14:paraId="1384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612" w:type="dxa"/>
            <w:vAlign w:val="center"/>
          </w:tcPr>
          <w:p w14:paraId="5115E28E">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3</w:t>
            </w:r>
          </w:p>
        </w:tc>
        <w:tc>
          <w:tcPr>
            <w:tcW w:w="1320" w:type="dxa"/>
            <w:vAlign w:val="center"/>
          </w:tcPr>
          <w:p w14:paraId="39359289">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商务-服务承诺（4分）</w:t>
            </w:r>
          </w:p>
        </w:tc>
        <w:tc>
          <w:tcPr>
            <w:tcW w:w="6150" w:type="dxa"/>
            <w:vAlign w:val="center"/>
          </w:tcPr>
          <w:p w14:paraId="1B4F0D5F">
            <w:pPr>
              <w:rPr>
                <w:color w:val="auto"/>
                <w:highlight w:val="none"/>
              </w:rPr>
            </w:pPr>
            <w:r>
              <w:rPr>
                <w:rFonts w:hint="eastAsia" w:ascii="仿宋" w:hAnsi="仿宋" w:eastAsia="仿宋" w:cs="仿宋"/>
                <w:color w:val="auto"/>
                <w:sz w:val="24"/>
                <w:highlight w:val="none"/>
              </w:rPr>
              <w:t>交付的质保、服务、响应、增值服务、对农民工工资支付（如有）等情况。由评委根据投标人提供承诺情况进行打分，内容具体有针对性得4分、内容不全且针对性不强得2分、内容欠缺且针对性较差得1分，差或没有不得分。</w:t>
            </w:r>
          </w:p>
        </w:tc>
        <w:tc>
          <w:tcPr>
            <w:tcW w:w="893" w:type="dxa"/>
            <w:vAlign w:val="center"/>
          </w:tcPr>
          <w:p w14:paraId="57604506">
            <w:pPr>
              <w:pStyle w:val="38"/>
              <w:adjustRightInd w:val="0"/>
              <w:snapToGrid w:val="0"/>
              <w:spacing w:before="0" w:beforeAutospacing="0" w:after="0" w:afterAutospacing="0"/>
              <w:jc w:val="center"/>
              <w:rPr>
                <w:rFonts w:ascii="仿宋" w:hAnsi="仿宋" w:eastAsia="仿宋" w:cs="仿宋"/>
                <w:color w:val="auto"/>
                <w:highlight w:val="none"/>
              </w:rPr>
            </w:pPr>
            <w:r>
              <w:rPr>
                <w:rFonts w:hint="eastAsia" w:ascii="仿宋" w:hAnsi="仿宋" w:eastAsia="仿宋" w:cs="仿宋"/>
                <w:color w:val="auto"/>
                <w:highlight w:val="none"/>
              </w:rPr>
              <w:t>4分</w:t>
            </w:r>
          </w:p>
        </w:tc>
      </w:tr>
      <w:tr w14:paraId="1CA8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612" w:type="dxa"/>
            <w:vAlign w:val="center"/>
          </w:tcPr>
          <w:p w14:paraId="7226C349">
            <w:pPr>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320" w:type="dxa"/>
            <w:vAlign w:val="center"/>
          </w:tcPr>
          <w:p w14:paraId="5F491DC6">
            <w:pPr>
              <w:contextualSpacing/>
              <w:jc w:val="center"/>
              <w:rPr>
                <w:rFonts w:ascii="仿宋" w:hAnsi="仿宋" w:eastAsia="仿宋" w:cs="仿宋"/>
                <w:color w:val="auto"/>
                <w:sz w:val="24"/>
                <w:highlight w:val="none"/>
              </w:rPr>
            </w:pPr>
            <w:r>
              <w:rPr>
                <w:rFonts w:hint="eastAsia" w:ascii="仿宋" w:hAnsi="仿宋" w:eastAsia="仿宋" w:cs="仿宋"/>
                <w:color w:val="auto"/>
                <w:sz w:val="24"/>
                <w:highlight w:val="none"/>
              </w:rPr>
              <w:t>商务-企业业绩（16分）</w:t>
            </w:r>
          </w:p>
        </w:tc>
        <w:tc>
          <w:tcPr>
            <w:tcW w:w="6150" w:type="dxa"/>
            <w:vAlign w:val="center"/>
          </w:tcPr>
          <w:p w14:paraId="0E0E87CC">
            <w:pPr>
              <w:rPr>
                <w:rFonts w:ascii="仿宋" w:hAnsi="仿宋" w:eastAsia="仿宋" w:cs="仿宋"/>
                <w:color w:val="auto"/>
                <w:sz w:val="24"/>
                <w:highlight w:val="none"/>
              </w:rPr>
            </w:pPr>
            <w:r>
              <w:rPr>
                <w:rFonts w:hint="eastAsia" w:ascii="仿宋" w:hAnsi="仿宋" w:eastAsia="仿宋" w:cs="仿宋"/>
                <w:color w:val="auto"/>
                <w:kern w:val="0"/>
                <w:sz w:val="24"/>
                <w:highlight w:val="none"/>
              </w:rPr>
              <w:t>供应商自2021年6月1日以来（以合同签订时间为准）类似项目业绩，提供金额最大的5份合同及发票（金额以发票为准），计算总业绩金额由高到低排序，排名第1得16分，排名第2得12分，排名第3得8分，排名第4及以后得4分，有业绩得4分，无业绩得0分。（提供合同复印件和对应发票，加盖公章，原件备查。）</w:t>
            </w:r>
          </w:p>
        </w:tc>
        <w:tc>
          <w:tcPr>
            <w:tcW w:w="893" w:type="dxa"/>
            <w:vAlign w:val="center"/>
          </w:tcPr>
          <w:p w14:paraId="730D9D37">
            <w:pPr>
              <w:contextualSpacing/>
              <w:jc w:val="center"/>
              <w:rPr>
                <w:rFonts w:ascii="仿宋" w:hAnsi="仿宋" w:eastAsia="仿宋" w:cs="仿宋"/>
                <w:color w:val="auto"/>
                <w:kern w:val="0"/>
                <w:sz w:val="24"/>
                <w:highlight w:val="none"/>
              </w:rPr>
            </w:pPr>
            <w:r>
              <w:rPr>
                <w:rFonts w:hint="eastAsia" w:ascii="仿宋" w:hAnsi="仿宋" w:eastAsia="仿宋" w:cs="仿宋"/>
                <w:color w:val="auto"/>
                <w:sz w:val="24"/>
                <w:highlight w:val="none"/>
              </w:rPr>
              <w:t>16分</w:t>
            </w:r>
          </w:p>
        </w:tc>
      </w:tr>
      <w:tr w14:paraId="4D52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dxa"/>
            <w:vAlign w:val="center"/>
          </w:tcPr>
          <w:p w14:paraId="6E47C528">
            <w:pPr>
              <w:pStyle w:val="38"/>
              <w:adjustRightInd w:val="0"/>
              <w:snapToGrid w:val="0"/>
              <w:spacing w:before="0" w:beforeAutospacing="0" w:after="0" w:afterAutospacing="0"/>
              <w:jc w:val="center"/>
              <w:rPr>
                <w:rFonts w:ascii="仿宋" w:hAnsi="仿宋" w:eastAsia="仿宋" w:cs="仿宋"/>
                <w:color w:val="auto"/>
                <w:kern w:val="2"/>
                <w:highlight w:val="none"/>
              </w:rPr>
            </w:pPr>
          </w:p>
        </w:tc>
        <w:tc>
          <w:tcPr>
            <w:tcW w:w="1320" w:type="dxa"/>
            <w:vAlign w:val="center"/>
          </w:tcPr>
          <w:p w14:paraId="2A66D15C">
            <w:pPr>
              <w:jc w:val="center"/>
              <w:rPr>
                <w:rFonts w:ascii="仿宋" w:hAnsi="仿宋" w:eastAsia="仿宋" w:cs="仿宋"/>
                <w:color w:val="auto"/>
                <w:sz w:val="24"/>
                <w:highlight w:val="none"/>
              </w:rPr>
            </w:pPr>
          </w:p>
        </w:tc>
        <w:tc>
          <w:tcPr>
            <w:tcW w:w="6150" w:type="dxa"/>
            <w:vAlign w:val="center"/>
          </w:tcPr>
          <w:p w14:paraId="6CA853CA">
            <w:pPr>
              <w:contextualSpacing/>
              <w:jc w:val="center"/>
              <w:rPr>
                <w:rFonts w:ascii="仿宋" w:hAnsi="仿宋" w:eastAsia="仿宋" w:cs="仿宋"/>
                <w:color w:val="auto"/>
                <w:sz w:val="24"/>
                <w:highlight w:val="none"/>
              </w:rPr>
            </w:pPr>
            <w:r>
              <w:rPr>
                <w:rFonts w:hint="eastAsia" w:ascii="仿宋" w:hAnsi="仿宋" w:eastAsia="仿宋" w:cs="仿宋"/>
                <w:color w:val="auto"/>
                <w:sz w:val="24"/>
                <w:highlight w:val="none"/>
              </w:rPr>
              <w:t>合计</w:t>
            </w:r>
          </w:p>
        </w:tc>
        <w:tc>
          <w:tcPr>
            <w:tcW w:w="893" w:type="dxa"/>
            <w:vAlign w:val="center"/>
          </w:tcPr>
          <w:p w14:paraId="65C504C6">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100分</w:t>
            </w:r>
          </w:p>
        </w:tc>
      </w:tr>
    </w:tbl>
    <w:p w14:paraId="6BD5922E">
      <w:pPr>
        <w:rPr>
          <w:rFonts w:ascii="仿宋" w:hAnsi="仿宋" w:eastAsia="仿宋" w:cs="仿宋"/>
          <w:color w:val="auto"/>
          <w:sz w:val="24"/>
          <w:highlight w:val="none"/>
        </w:rPr>
      </w:pPr>
    </w:p>
    <w:p w14:paraId="7382416A">
      <w:pPr>
        <w:spacing w:line="360" w:lineRule="auto"/>
        <w:ind w:firstLine="480" w:firstLineChars="200"/>
        <w:outlineLvl w:val="1"/>
        <w:rPr>
          <w:rFonts w:ascii="仿宋" w:hAnsi="仿宋" w:eastAsia="仿宋" w:cs="仿宋"/>
          <w:color w:val="auto"/>
          <w:sz w:val="24"/>
          <w:highlight w:val="none"/>
        </w:rPr>
      </w:pPr>
      <w:r>
        <w:rPr>
          <w:rFonts w:hint="eastAsia" w:ascii="仿宋" w:hAnsi="仿宋" w:eastAsia="仿宋" w:cs="仿宋"/>
          <w:color w:val="auto"/>
          <w:sz w:val="24"/>
          <w:highlight w:val="none"/>
        </w:rPr>
        <w:t>二、说明</w:t>
      </w:r>
    </w:p>
    <w:p w14:paraId="4596A165">
      <w:pPr>
        <w:tabs>
          <w:tab w:val="left" w:pos="1440"/>
        </w:tabs>
        <w:spacing w:line="360" w:lineRule="auto"/>
        <w:ind w:firstLine="480" w:firstLineChars="200"/>
        <w:jc w:val="left"/>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1、评审办法所涉及的所有材料均需提供复印件，提供不全均不得分。</w:t>
      </w:r>
    </w:p>
    <w:p w14:paraId="5F039896">
      <w:pPr>
        <w:tabs>
          <w:tab w:val="left" w:pos="1440"/>
        </w:tabs>
        <w:spacing w:line="360" w:lineRule="auto"/>
        <w:ind w:firstLine="480" w:firstLineChars="200"/>
        <w:jc w:val="left"/>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2、响应单位所提供的所有材料、人员证书必须真实可靠，如发现响应单位弄虚作假，则取消其本项目的成交资格，并按中国石化相关制度进行违约处理。</w:t>
      </w:r>
    </w:p>
    <w:p w14:paraId="10D7A67D">
      <w:pPr>
        <w:ind w:firstLine="723"/>
        <w:rPr>
          <w:rFonts w:ascii="黑体" w:eastAsia="黑体"/>
          <w:b/>
          <w:color w:val="auto"/>
          <w:sz w:val="36"/>
          <w:szCs w:val="36"/>
          <w:highlight w:val="none"/>
        </w:rPr>
      </w:pPr>
      <w:r>
        <w:rPr>
          <w:rFonts w:ascii="黑体" w:eastAsia="黑体"/>
          <w:b/>
          <w:color w:val="auto"/>
          <w:sz w:val="36"/>
          <w:szCs w:val="36"/>
          <w:highlight w:val="none"/>
        </w:rPr>
        <w:br w:type="page"/>
      </w:r>
    </w:p>
    <w:p w14:paraId="0FBC141C">
      <w:pPr>
        <w:ind w:firstLine="723"/>
        <w:rPr>
          <w:rFonts w:ascii="黑体" w:eastAsia="黑体"/>
          <w:b/>
          <w:color w:val="auto"/>
          <w:sz w:val="36"/>
          <w:szCs w:val="36"/>
          <w:highlight w:val="none"/>
        </w:rPr>
      </w:pPr>
    </w:p>
    <w:bookmarkEnd w:id="85"/>
    <w:bookmarkEnd w:id="86"/>
    <w:bookmarkEnd w:id="87"/>
    <w:bookmarkEnd w:id="88"/>
    <w:p w14:paraId="289FF1AA">
      <w:pPr>
        <w:spacing w:line="360" w:lineRule="auto"/>
        <w:ind w:firstLine="723"/>
        <w:jc w:val="center"/>
        <w:outlineLvl w:val="0"/>
        <w:rPr>
          <w:rFonts w:ascii="黑体" w:hAnsi="黑体" w:eastAsia="黑体" w:cs="黑体"/>
          <w:b/>
          <w:bCs/>
          <w:color w:val="auto"/>
          <w:kern w:val="44"/>
          <w:sz w:val="36"/>
          <w:szCs w:val="36"/>
          <w:highlight w:val="none"/>
          <w:lang w:val="zh-CN"/>
        </w:rPr>
      </w:pPr>
      <w:bookmarkStart w:id="90" w:name="_Toc7480"/>
      <w:bookmarkStart w:id="91" w:name="_Toc229"/>
      <w:bookmarkStart w:id="92" w:name="_Toc3696"/>
      <w:bookmarkStart w:id="93" w:name="_Toc503948077"/>
      <w:bookmarkStart w:id="94" w:name="_Toc503948584"/>
      <w:r>
        <w:rPr>
          <w:rFonts w:hint="eastAsia" w:ascii="黑体" w:hAnsi="黑体" w:eastAsia="黑体" w:cs="黑体"/>
          <w:b/>
          <w:bCs/>
          <w:color w:val="auto"/>
          <w:kern w:val="44"/>
          <w:sz w:val="36"/>
          <w:szCs w:val="36"/>
          <w:highlight w:val="none"/>
        </w:rPr>
        <w:t>第四章 项目需求</w:t>
      </w:r>
      <w:bookmarkEnd w:id="90"/>
      <w:bookmarkEnd w:id="91"/>
      <w:bookmarkEnd w:id="92"/>
    </w:p>
    <w:bookmarkEnd w:id="93"/>
    <w:bookmarkEnd w:id="94"/>
    <w:p w14:paraId="7313E06C">
      <w:pPr>
        <w:spacing w:line="360" w:lineRule="auto"/>
        <w:ind w:firstLine="482" w:firstLineChars="200"/>
        <w:outlineLvl w:val="1"/>
        <w:rPr>
          <w:rFonts w:ascii="仿宋" w:hAnsi="仿宋" w:eastAsia="仿宋" w:cs="仿宋"/>
          <w:b/>
          <w:bCs/>
          <w:color w:val="auto"/>
          <w:sz w:val="24"/>
          <w:highlight w:val="none"/>
        </w:rPr>
      </w:pPr>
      <w:bookmarkStart w:id="95" w:name="_Toc503948078"/>
      <w:bookmarkStart w:id="96" w:name="_Toc518485135"/>
      <w:r>
        <w:rPr>
          <w:rFonts w:hint="eastAsia" w:ascii="仿宋" w:hAnsi="仿宋" w:eastAsia="仿宋" w:cs="仿宋"/>
          <w:b/>
          <w:bCs/>
          <w:color w:val="auto"/>
          <w:sz w:val="24"/>
          <w:highlight w:val="none"/>
        </w:rPr>
        <w:t>一、技术要求</w:t>
      </w:r>
    </w:p>
    <w:p w14:paraId="53DC7A6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本项目为中石化石油物探技术研究院江宁基地南广场场地整体改造工程，监理单位对广场土建铺装、场地硬化、绿化配套、排水管网、照明机电、围挡及配套附属工程实施全过程监理。</w:t>
      </w:r>
    </w:p>
    <w:p w14:paraId="2D23FA8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沥青道路改造工程管控</w:t>
      </w:r>
    </w:p>
    <w:p w14:paraId="5FB4D8C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 拆除施工：监督原有道路及基础拆除作业，严控拆除范围、拆除深度，避免超拆、漏拆，保护周边原有完好构筑物、绿植及管线，杜绝野蛮施工造成二次损坏。</w:t>
      </w:r>
    </w:p>
    <w:p w14:paraId="608C7EA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 面层铣刨施工：严格核查原有沥青面层铣刨厚度、平整度，确保铣刨面干净、无残留松散面层，基底坚实平整，符合沥青铺设基础要求，做好铣刨工序隐蔽验收。</w:t>
      </w:r>
    </w:p>
    <w:p w14:paraId="0BE20BA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沥青摊铺施工：监督沥青混合料配比、温度、摊铺速度、摊铺厚度，全程旁站摊铺、碾压工序，管控道路平整度、压实度、坡度，完工后及时检测路面质量，杜绝路面起砂、开裂、积水、平整度超标等质量问题。</w:t>
      </w:r>
    </w:p>
    <w:p w14:paraId="43C5F10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 土方及浇筑施工：管控主楼广场下凹区域、门廊两侧土方回填分层厚度、压实度，杜绝回填土沉降、空鼓；监督混凝土浇筑振捣、收面、养护工序，确保硬化面平整、强度达标，无裂缝、起壳缺陷。</w:t>
      </w:r>
    </w:p>
    <w:p w14:paraId="763E896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拆除及移栽工程质量管控</w:t>
      </w:r>
    </w:p>
    <w:p w14:paraId="2798811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 构筑物拆除：全程监督广场铺装、花池、水景、台阶、挡墙、旗台等设施拆除，严格按照施工方案有序拆除，做好成品保护，防止拆除废渣、施工碰撞损坏周边保留设施。</w:t>
      </w:r>
    </w:p>
    <w:p w14:paraId="6D6F101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 植物移栽：监督原有广场绿植移栽全过程，把控起苗、土球包裹、运输、栽植、养护全流程，规范移栽工艺，最大限度保障苗木成活率，对移栽后苗木养护情况进行持续跟踪。</w:t>
      </w:r>
    </w:p>
    <w:p w14:paraId="68E70B1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景观及配套新建工程质量管控</w:t>
      </w:r>
    </w:p>
    <w:p w14:paraId="7CEB6DE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 铺装及构筑物施工：管控广场铺装基层处理、砂浆配比、铺装平整度、缝隙顺直度；全程监督花池水景、雕塑、景墙、旗台施工，核查结构尺寸、混凝土强度、外观质量、防水防渗性能，确保构筑物稳固、美观、符合设计要求。</w:t>
      </w:r>
    </w:p>
    <w:p w14:paraId="378ADBD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 绿化工程：严格核查进场苗木规格、品相、成活率，监督苗木栽植位置、间距、覆土厚度、支撑固定、浇水养护等工序，确保绿化种植效果达标，后期长势良好。</w:t>
      </w:r>
    </w:p>
    <w:p w14:paraId="74A31F6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水电配套工程：管控给排水管道铺设、接口连接、打压试验，电气管线敷设、灯具安装、线路接线等工序，确保水电系统运行稳定、安全合规，做好隐蔽工程验收记录。</w:t>
      </w:r>
    </w:p>
    <w:p w14:paraId="70414BF7">
      <w:pPr>
        <w:spacing w:line="360" w:lineRule="auto"/>
        <w:ind w:firstLine="482" w:firstLineChars="200"/>
        <w:outlineLvl w:val="1"/>
        <w:rPr>
          <w:rFonts w:ascii="仿宋" w:hAnsi="仿宋" w:eastAsia="仿宋" w:cs="仿宋"/>
          <w:b/>
          <w:bCs/>
          <w:color w:val="auto"/>
          <w:sz w:val="24"/>
          <w:highlight w:val="none"/>
        </w:rPr>
      </w:pPr>
      <w:r>
        <w:rPr>
          <w:rFonts w:hint="eastAsia" w:ascii="仿宋" w:hAnsi="仿宋" w:eastAsia="仿宋" w:cs="仿宋"/>
          <w:b/>
          <w:bCs/>
          <w:color w:val="auto"/>
          <w:sz w:val="24"/>
          <w:highlight w:val="none"/>
        </w:rPr>
        <w:t>二、标准依据</w:t>
      </w:r>
    </w:p>
    <w:p w14:paraId="0936CA00">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项目实施中，相关工作内容应满足相关国家法律法规、标准和规范的最新版要求。如果几种规范和标准适用于同一种情况，则应该遵循相关要求最为严格的条款。包括但不限于以下内容：</w:t>
      </w:r>
    </w:p>
    <w:p w14:paraId="2EA52189">
      <w:pPr>
        <w:spacing w:line="360" w:lineRule="auto"/>
        <w:ind w:firstLine="480" w:firstLineChars="200"/>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国家市政、场地景观、土建施工规范：《城镇道路工程施工与质量验收规范》CJJ1、《透水铺装工程技术规程》、《建筑给水排水及采暖工程施工质量验收规范》GB50242、《建筑电气工程施工质量验收规范》GB50303、《园林绿化工程施工及验收规范》CJJ82。</w:t>
      </w:r>
    </w:p>
    <w:p w14:paraId="4CB3FB00">
      <w:pPr>
        <w:spacing w:line="360" w:lineRule="auto"/>
        <w:ind w:firstLine="480" w:firstLineChars="200"/>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安全规范：《建筑施工安全检查标准》JGJ59、施工现场临时用电规范JGJ46、土方开挖、大型机械作业安全技术规范。</w:t>
      </w:r>
    </w:p>
    <w:p w14:paraId="5F7FBE23">
      <w:pPr>
        <w:spacing w:line="360" w:lineRule="auto"/>
        <w:ind w:firstLine="480" w:firstLineChars="200"/>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监理行业标准：《建设工程监理规范》GB/T50319、房屋建筑及室外配套工程监理管理规定、中国石化厂区工程建设、现场安全、造价管控制度。</w:t>
      </w:r>
    </w:p>
    <w:p w14:paraId="46C73902">
      <w:pPr>
        <w:spacing w:line="360" w:lineRule="auto"/>
        <w:ind w:firstLine="480" w:firstLineChars="200"/>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本项目竞争性谈判文件、广场施工图纸、工程量清单、设计变更、甲方厂区现场管理规定。</w:t>
      </w:r>
    </w:p>
    <w:p w14:paraId="58978EA0">
      <w:pPr>
        <w:spacing w:line="360" w:lineRule="auto"/>
        <w:ind w:firstLine="480" w:firstLineChars="200"/>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江苏省、南京市扬尘管控、建筑垃圾处置、户外景观环保、雨水回收利用相关地方管理标准。</w:t>
      </w:r>
    </w:p>
    <w:p w14:paraId="3B47A301">
      <w:pPr>
        <w:spacing w:line="360" w:lineRule="auto"/>
        <w:ind w:firstLine="480" w:firstLineChars="200"/>
        <w:outlineLvl w:val="1"/>
        <w:rPr>
          <w:rStyle w:val="104"/>
          <w:rFonts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b/>
          <w:bCs/>
          <w:color w:val="auto"/>
          <w:sz w:val="24"/>
          <w:highlight w:val="none"/>
        </w:rPr>
        <w:t>三、服务事项</w:t>
      </w:r>
    </w:p>
    <w:p w14:paraId="3882D2C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前期监理服务</w:t>
      </w:r>
    </w:p>
    <w:p w14:paraId="6D3384E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 熟悉施工图纸、设计文件及工程量清单，核查图纸合理性，梳理施工重难点，提前预判施工风险，参与图纸会审及设计交底工作，整理会审记录并跟踪落实问题整改。</w:t>
      </w:r>
    </w:p>
    <w:p w14:paraId="7966D14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 审核施工单位提交的施工组织设计、专项施工方案，重点核查拆除工程、沥青摊铺、土方回填、景观构筑物施工、绿植移栽等专项方案的可行性、安全性、合规性，对不符合要求的方案要求施工单位修改完善后方可施工。</w:t>
      </w:r>
    </w:p>
    <w:p w14:paraId="10E4892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核查施工单位资质、项目部管理人员、特种作业人员持证上岗情况，核对施工机械、设备进场验收资料，确保人员、设备满足施工需求。</w:t>
      </w:r>
    </w:p>
    <w:p w14:paraId="1F1AF70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 审核进场原材料、构配件、苗木的质量证明文件、合格证及检测报告，对沥青、水泥、砂石、铺装石材、绿化苗木等关键材料进行见证取样送检，不合格材料严禁进场使用。</w:t>
      </w:r>
    </w:p>
    <w:p w14:paraId="0FEEC51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 复核现场原始地貌、标高、轴线控制点，核对原有构筑物、道路、绿化现状，为后续拆除、新建、土方施工提供精准依据。</w:t>
      </w:r>
    </w:p>
    <w:p w14:paraId="284CC7FC">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安全生产及文明施工监理</w:t>
      </w:r>
      <w:r>
        <w:rPr>
          <w:rFonts w:hint="eastAsia" w:ascii="仿宋" w:hAnsi="仿宋" w:eastAsia="仿宋" w:cs="仿宋"/>
          <w:color w:val="auto"/>
          <w:sz w:val="24"/>
          <w:highlight w:val="none"/>
          <w:lang w:val="en-US" w:eastAsia="zh-CN"/>
        </w:rPr>
        <w:t>服务</w:t>
      </w:r>
    </w:p>
    <w:p w14:paraId="0A73F0F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 安全管控：核查施工单位安全技术交底、安全应急预案，检查施工现场安全防护设施、围挡设置、警示标识配备情况；重点管控拆除作业、高处作业、机械作业安全，杜绝高空坠落、物体打击、机械伤害等安全隐患；定期开展安全巡查，发现隐患立即下发整改通知，跟踪闭环落实。</w:t>
      </w:r>
    </w:p>
    <w:p w14:paraId="6299E9A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 文明施工管控：监督施工现场物料分类堆放、建筑垃圾及时清运，保持场地整洁有序；严控施工扬尘、噪音污染，落实洒水降尘、限时施工要求；规范施工人员作业行为，杜绝违规施工、野蛮施工。</w:t>
      </w:r>
    </w:p>
    <w:p w14:paraId="3A335DC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成品保护监理：全程监督施工成品保护工作，对已完工道路、铺装、景观、绿植等成品采取防护措施，避免交叉施工造成损坏。</w:t>
      </w:r>
    </w:p>
    <w:p w14:paraId="6BB8752F">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施工进度监理</w:t>
      </w:r>
      <w:r>
        <w:rPr>
          <w:rFonts w:hint="eastAsia" w:ascii="仿宋" w:hAnsi="仿宋" w:eastAsia="仿宋" w:cs="仿宋"/>
          <w:color w:val="auto"/>
          <w:sz w:val="24"/>
          <w:highlight w:val="none"/>
          <w:lang w:val="en-US" w:eastAsia="zh-CN"/>
        </w:rPr>
        <w:t>服务</w:t>
      </w:r>
    </w:p>
    <w:p w14:paraId="3F254CE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 审核施工单位提交的总进度计划、月进度计划、周进度计划，核查计划合理性、可行性，确保进度计划贴合项目整体工期要求。</w:t>
      </w:r>
    </w:p>
    <w:p w14:paraId="0B5D181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 每日跟踪现场施工进度，对比计划进度排查滞后问题，分析进度滞后原因，督促施工单位优化施工方案、增加人力物力投入，及时追赶工期。</w:t>
      </w:r>
    </w:p>
    <w:p w14:paraId="51743AB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定期召开进度专题会议，梳理施工重难点及堵点问题，协调各方资源，保障施工有序推进，确保项目按期完工。</w:t>
      </w:r>
    </w:p>
    <w:p w14:paraId="40C6B26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四</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资料管理及协调工作</w:t>
      </w:r>
    </w:p>
    <w:p w14:paraId="25A11C9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 督促施工单位同步整理施工资料，确保施工日志、试验报告、隐蔽验收记录、工序报验资料、竣工资料真实、完整、规范，与施工进度同步。</w:t>
      </w:r>
    </w:p>
    <w:p w14:paraId="3CA990F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 做好监理资料整理归档工作，及时编写监理日志、监理月报、旁站记录、整改通知、会议纪要等资料。</w:t>
      </w:r>
    </w:p>
    <w:p w14:paraId="0D8FC03A">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 统筹协调业主、施工单位、设计单位各方工作，及时解决施工现场技术问题、施工矛盾，保障施工顺利推进。</w:t>
      </w:r>
    </w:p>
    <w:p w14:paraId="7DE0BAD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 严格审核施工现场签证、工程变更，核查变更、签证的必要性、合理性及工程量真实性，杜绝虚增工程量、不合理签证。</w:t>
      </w:r>
    </w:p>
    <w:p w14:paraId="3130689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 核对已完工程工程量，配合业主完成工程进度款审核、结算复核工作，严控工程投资，避免造价超支。</w:t>
      </w:r>
    </w:p>
    <w:p w14:paraId="5EFF3C6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 监督施工合同履约情况，及时梳理合同履约问题，督促各方履行合同义务。</w:t>
      </w:r>
    </w:p>
    <w:p w14:paraId="2F7FAB3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7. 工程完工后，督促施工单位完成自检整改，核查竣工资料完整性，组织开展预验收工作，梳理验收问题清单，督促施工单位逐项闭环整改。</w:t>
      </w:r>
    </w:p>
    <w:p w14:paraId="3394BC9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 配合业主完成工程正式竣工验收、备案工作。</w:t>
      </w:r>
    </w:p>
    <w:p w14:paraId="073EE846">
      <w:pPr>
        <w:spacing w:line="360" w:lineRule="auto"/>
        <w:ind w:firstLine="480" w:firstLineChars="200"/>
        <w:outlineLvl w:val="2"/>
        <w:rPr>
          <w:rFonts w:ascii="仿宋" w:hAnsi="仿宋" w:eastAsia="仿宋" w:cs="仿宋"/>
          <w:b/>
          <w:bCs/>
          <w:color w:val="auto"/>
          <w:sz w:val="40"/>
          <w:szCs w:val="40"/>
          <w:highlight w:val="none"/>
        </w:rPr>
      </w:pPr>
      <w:r>
        <w:rPr>
          <w:rFonts w:hint="eastAsia" w:ascii="仿宋" w:hAnsi="仿宋" w:eastAsia="仿宋" w:cs="仿宋"/>
          <w:color w:val="auto"/>
          <w:sz w:val="24"/>
          <w:highlight w:val="none"/>
          <w:lang w:val="en-US" w:eastAsia="zh-CN"/>
        </w:rPr>
        <w:t>9. 缺陷责任期内，定期巡查工程现场，排查道路、铺装、景观、绿化、水电设施质量缺陷，督促施工单位及时完成维修整改，确保工程质量达标。</w:t>
      </w:r>
      <w:r>
        <w:rPr>
          <w:rFonts w:hint="eastAsia" w:ascii="仿宋" w:hAnsi="仿宋" w:eastAsia="仿宋" w:cs="仿宋"/>
          <w:b/>
          <w:bCs/>
          <w:color w:val="auto"/>
          <w:sz w:val="40"/>
          <w:szCs w:val="40"/>
          <w:highlight w:val="none"/>
        </w:rPr>
        <w:br w:type="page"/>
      </w:r>
    </w:p>
    <w:p w14:paraId="32DDF1BD">
      <w:pPr>
        <w:ind w:firstLine="803"/>
        <w:rPr>
          <w:rFonts w:ascii="仿宋" w:hAnsi="仿宋" w:eastAsia="仿宋" w:cs="仿宋"/>
          <w:b/>
          <w:bCs/>
          <w:color w:val="auto"/>
          <w:sz w:val="40"/>
          <w:szCs w:val="40"/>
          <w:highlight w:val="none"/>
        </w:rPr>
      </w:pPr>
    </w:p>
    <w:p w14:paraId="25E61107">
      <w:pPr>
        <w:spacing w:line="360" w:lineRule="auto"/>
        <w:ind w:firstLine="723"/>
        <w:jc w:val="center"/>
        <w:outlineLvl w:val="0"/>
        <w:rPr>
          <w:rFonts w:ascii="黑体" w:hAnsi="黑体" w:eastAsia="黑体" w:cs="黑体"/>
          <w:b/>
          <w:bCs/>
          <w:color w:val="auto"/>
          <w:sz w:val="36"/>
          <w:szCs w:val="36"/>
          <w:highlight w:val="none"/>
          <w:lang w:val="zh-CN"/>
        </w:rPr>
      </w:pPr>
      <w:bookmarkStart w:id="97" w:name="_Toc4823"/>
      <w:bookmarkStart w:id="98" w:name="_Toc11448"/>
      <w:bookmarkStart w:id="99" w:name="_Toc23974"/>
      <w:bookmarkStart w:id="100" w:name="_Toc4047"/>
      <w:r>
        <w:rPr>
          <w:rFonts w:hint="eastAsia" w:ascii="黑体" w:hAnsi="黑体" w:eastAsia="黑体" w:cs="黑体"/>
          <w:b/>
          <w:bCs/>
          <w:color w:val="auto"/>
          <w:kern w:val="44"/>
          <w:sz w:val="36"/>
          <w:szCs w:val="36"/>
          <w:highlight w:val="none"/>
          <w:lang w:val="zh-CN"/>
        </w:rPr>
        <w:t>第</w:t>
      </w:r>
      <w:r>
        <w:rPr>
          <w:rFonts w:hint="eastAsia" w:ascii="黑体" w:hAnsi="黑体" w:eastAsia="黑体" w:cs="黑体"/>
          <w:b/>
          <w:bCs/>
          <w:color w:val="auto"/>
          <w:kern w:val="44"/>
          <w:sz w:val="36"/>
          <w:szCs w:val="36"/>
          <w:highlight w:val="none"/>
        </w:rPr>
        <w:t>五</w:t>
      </w:r>
      <w:r>
        <w:rPr>
          <w:rFonts w:hint="eastAsia" w:ascii="黑体" w:hAnsi="黑体" w:eastAsia="黑体" w:cs="黑体"/>
          <w:b/>
          <w:bCs/>
          <w:color w:val="auto"/>
          <w:kern w:val="44"/>
          <w:sz w:val="36"/>
          <w:szCs w:val="36"/>
          <w:highlight w:val="none"/>
          <w:lang w:val="zh-CN"/>
        </w:rPr>
        <w:t>章</w:t>
      </w:r>
      <w:r>
        <w:rPr>
          <w:rFonts w:hint="eastAsia" w:ascii="黑体" w:hAnsi="黑体" w:eastAsia="黑体" w:cs="黑体"/>
          <w:b/>
          <w:bCs/>
          <w:color w:val="auto"/>
          <w:kern w:val="44"/>
          <w:sz w:val="36"/>
          <w:szCs w:val="36"/>
          <w:highlight w:val="none"/>
        </w:rPr>
        <w:t xml:space="preserve"> </w:t>
      </w:r>
      <w:r>
        <w:rPr>
          <w:rFonts w:hint="eastAsia" w:ascii="黑体" w:hAnsi="黑体" w:eastAsia="黑体" w:cs="黑体"/>
          <w:b/>
          <w:bCs/>
          <w:color w:val="auto"/>
          <w:kern w:val="44"/>
          <w:sz w:val="36"/>
          <w:szCs w:val="36"/>
          <w:highlight w:val="none"/>
          <w:lang w:val="zh-CN"/>
        </w:rPr>
        <w:t>谈判响应文件格式</w:t>
      </w:r>
      <w:bookmarkEnd w:id="95"/>
      <w:bookmarkEnd w:id="96"/>
      <w:bookmarkEnd w:id="97"/>
      <w:bookmarkEnd w:id="98"/>
      <w:bookmarkEnd w:id="99"/>
      <w:bookmarkEnd w:id="100"/>
    </w:p>
    <w:p w14:paraId="5EAD0C13">
      <w:pPr>
        <w:widowControl/>
        <w:spacing w:line="360" w:lineRule="auto"/>
        <w:ind w:firstLine="482" w:firstLineChars="200"/>
        <w:jc w:val="left"/>
        <w:rPr>
          <w:rFonts w:ascii="仿宋" w:hAnsi="仿宋" w:eastAsia="仿宋" w:cs="仿宋"/>
          <w:b/>
          <w:color w:val="auto"/>
          <w:sz w:val="24"/>
          <w:szCs w:val="40"/>
          <w:highlight w:val="none"/>
          <w:lang w:val="zh-CN"/>
        </w:rPr>
      </w:pPr>
      <w:r>
        <w:rPr>
          <w:rFonts w:hint="eastAsia" w:ascii="仿宋" w:hAnsi="仿宋" w:eastAsia="仿宋" w:cs="仿宋"/>
          <w:b/>
          <w:color w:val="auto"/>
          <w:sz w:val="24"/>
          <w:szCs w:val="40"/>
          <w:highlight w:val="none"/>
          <w:lang w:val="zh-CN"/>
        </w:rPr>
        <w:t>注：</w:t>
      </w:r>
    </w:p>
    <w:p w14:paraId="19C606D5">
      <w:pPr>
        <w:widowControl/>
        <w:spacing w:line="360" w:lineRule="auto"/>
        <w:ind w:firstLine="482" w:firstLineChars="200"/>
        <w:jc w:val="left"/>
        <w:rPr>
          <w:rFonts w:ascii="仿宋" w:hAnsi="仿宋" w:eastAsia="仿宋" w:cs="仿宋"/>
          <w:b/>
          <w:color w:val="auto"/>
          <w:sz w:val="24"/>
          <w:szCs w:val="40"/>
          <w:highlight w:val="none"/>
          <w:lang w:val="zh-CN"/>
        </w:rPr>
      </w:pPr>
      <w:r>
        <w:rPr>
          <w:rFonts w:hint="eastAsia" w:ascii="仿宋" w:hAnsi="仿宋" w:eastAsia="仿宋" w:cs="仿宋"/>
          <w:b/>
          <w:color w:val="auto"/>
          <w:sz w:val="24"/>
          <w:szCs w:val="40"/>
          <w:highlight w:val="none"/>
          <w:lang w:val="zh-CN"/>
        </w:rPr>
        <w:t>请供应商按照以下文件的要求格式、内容，顺序制作响应文件，并请编制目录及页码，否则可能将影响对响应文件的评价。</w:t>
      </w:r>
    </w:p>
    <w:p w14:paraId="5AE85700">
      <w:pPr>
        <w:widowControl/>
        <w:ind w:firstLine="440"/>
        <w:jc w:val="left"/>
        <w:rPr>
          <w:rFonts w:ascii="黑体" w:eastAsia="黑体"/>
          <w:bCs/>
          <w:color w:val="auto"/>
          <w:sz w:val="22"/>
          <w:szCs w:val="36"/>
          <w:highlight w:val="none"/>
          <w:lang w:val="zh-CN"/>
        </w:rPr>
      </w:pPr>
      <w:r>
        <w:rPr>
          <w:rFonts w:ascii="黑体" w:eastAsia="黑体"/>
          <w:bCs/>
          <w:color w:val="auto"/>
          <w:sz w:val="22"/>
          <w:szCs w:val="36"/>
          <w:highlight w:val="none"/>
          <w:lang w:val="zh-CN"/>
        </w:rPr>
        <w:br w:type="page"/>
      </w:r>
    </w:p>
    <w:p w14:paraId="4703C62A">
      <w:pPr>
        <w:widowControl/>
        <w:ind w:firstLine="562"/>
        <w:jc w:val="left"/>
        <w:rPr>
          <w:rFonts w:ascii="仿宋" w:hAnsi="仿宋" w:eastAsia="仿宋" w:cs="仿宋"/>
          <w:color w:val="auto"/>
          <w:sz w:val="22"/>
          <w:szCs w:val="22"/>
          <w:highlight w:val="none"/>
          <w:lang w:val="zh-CN"/>
        </w:rPr>
      </w:pPr>
      <w:r>
        <w:rPr>
          <w:rFonts w:hint="eastAsia" w:ascii="仿宋" w:hAnsi="仿宋" w:eastAsia="仿宋" w:cs="仿宋"/>
          <w:b/>
          <w:color w:val="auto"/>
          <w:sz w:val="28"/>
          <w:szCs w:val="22"/>
          <w:highlight w:val="none"/>
        </w:rPr>
        <mc:AlternateContent>
          <mc:Choice Requires="wps">
            <w:drawing>
              <wp:anchor distT="0" distB="0" distL="114300" distR="114300" simplePos="0" relativeHeight="251659264" behindDoc="0" locked="0" layoutInCell="1" allowOverlap="1">
                <wp:simplePos x="0" y="0"/>
                <wp:positionH relativeFrom="column">
                  <wp:posOffset>3992245</wp:posOffset>
                </wp:positionH>
                <wp:positionV relativeFrom="paragraph">
                  <wp:posOffset>-4445</wp:posOffset>
                </wp:positionV>
                <wp:extent cx="1586230" cy="821055"/>
                <wp:effectExtent l="5080" t="4445" r="8890" b="12700"/>
                <wp:wrapNone/>
                <wp:docPr id="4" name="矩形 2"/>
                <wp:cNvGraphicFramePr/>
                <a:graphic xmlns:a="http://schemas.openxmlformats.org/drawingml/2006/main">
                  <a:graphicData uri="http://schemas.microsoft.com/office/word/2010/wordprocessingShape">
                    <wps:wsp>
                      <wps:cNvSpPr/>
                      <wps:spPr>
                        <a:xfrm>
                          <a:off x="0" y="0"/>
                          <a:ext cx="1586230" cy="8210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E16DBE">
                            <w:pPr>
                              <w:jc w:val="center"/>
                              <w:rPr>
                                <w:rFonts w:ascii="仿宋" w:hAnsi="仿宋" w:eastAsia="仿宋" w:cs="仿宋"/>
                                <w:b/>
                                <w:color w:val="FF0000"/>
                                <w:sz w:val="40"/>
                              </w:rPr>
                            </w:pPr>
                            <w:r>
                              <w:rPr>
                                <w:rFonts w:hint="eastAsia" w:ascii="仿宋" w:hAnsi="仿宋" w:eastAsia="仿宋" w:cs="仿宋"/>
                                <w:b/>
                                <w:color w:val="FF0000"/>
                                <w:sz w:val="40"/>
                              </w:rPr>
                              <w:t>正本/副本</w:t>
                            </w:r>
                          </w:p>
                        </w:txbxContent>
                      </wps:txbx>
                      <wps:bodyPr anchor="ctr" anchorCtr="0" upright="1"/>
                    </wps:wsp>
                  </a:graphicData>
                </a:graphic>
              </wp:anchor>
            </w:drawing>
          </mc:Choice>
          <mc:Fallback>
            <w:pict>
              <v:rect id="矩形 2" o:spid="_x0000_s1026" o:spt="1" style="position:absolute;left:0pt;margin-left:314.35pt;margin-top:-0.35pt;height:64.65pt;width:124.9pt;z-index:251659264;v-text-anchor:middle;mso-width-relative:page;mso-height-relative:page;" fillcolor="#FFFFFF" filled="t" stroked="t" coordsize="21600,21600" o:gfxdata="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jRFT82QAAAAkBAAAPAAAAAAAAAAEA&#10;IAAAACIAAABkcnMvZG93bnJldi54bWxQSwECFAAUAAAACACHTuJAHwxO6Q4CAABEBAAADgAAAAAA&#10;AAABACAAAAAoAQAAZHJzL2Uyb0RvYy54bWxQSwUGAAAAAAYABgBZAQAAqAUAAAAA&#10;">
                <v:fill on="t" focussize="0,0"/>
                <v:stroke color="#000000" joinstyle="miter"/>
                <v:imagedata o:title=""/>
                <o:lock v:ext="edit" aspectratio="f"/>
                <v:textbox>
                  <w:txbxContent>
                    <w:p w14:paraId="60E16DBE">
                      <w:pPr>
                        <w:jc w:val="center"/>
                        <w:rPr>
                          <w:rFonts w:ascii="仿宋" w:hAnsi="仿宋" w:eastAsia="仿宋" w:cs="仿宋"/>
                          <w:b/>
                          <w:color w:val="FF0000"/>
                          <w:sz w:val="40"/>
                        </w:rPr>
                      </w:pPr>
                      <w:r>
                        <w:rPr>
                          <w:rFonts w:hint="eastAsia" w:ascii="仿宋" w:hAnsi="仿宋" w:eastAsia="仿宋" w:cs="仿宋"/>
                          <w:b/>
                          <w:color w:val="FF0000"/>
                          <w:sz w:val="40"/>
                        </w:rPr>
                        <w:t>正本/副本</w:t>
                      </w:r>
                    </w:p>
                  </w:txbxContent>
                </v:textbox>
              </v:rect>
            </w:pict>
          </mc:Fallback>
        </mc:AlternateContent>
      </w:r>
      <w:r>
        <w:rPr>
          <w:rFonts w:hint="eastAsia" w:ascii="仿宋" w:hAnsi="仿宋" w:eastAsia="仿宋" w:cs="仿宋"/>
          <w:b/>
          <w:color w:val="auto"/>
          <w:sz w:val="28"/>
          <w:szCs w:val="22"/>
          <w:highlight w:val="none"/>
          <w:lang w:val="zh-CN"/>
        </w:rPr>
        <w:t>封面格式</w:t>
      </w:r>
    </w:p>
    <w:p w14:paraId="1E0C2E69">
      <w:pPr>
        <w:widowControl/>
        <w:ind w:firstLine="420"/>
        <w:jc w:val="left"/>
        <w:rPr>
          <w:rFonts w:ascii="宋体"/>
          <w:color w:val="auto"/>
          <w:szCs w:val="21"/>
          <w:highlight w:val="none"/>
          <w:lang w:val="zh-CN"/>
        </w:rPr>
      </w:pPr>
    </w:p>
    <w:p w14:paraId="2E8A20BB">
      <w:pPr>
        <w:widowControl/>
        <w:ind w:firstLine="420"/>
        <w:jc w:val="left"/>
        <w:rPr>
          <w:rFonts w:ascii="宋体"/>
          <w:color w:val="auto"/>
          <w:szCs w:val="21"/>
          <w:highlight w:val="none"/>
          <w:lang w:val="zh-CN"/>
        </w:rPr>
      </w:pPr>
    </w:p>
    <w:p w14:paraId="55459D42">
      <w:pPr>
        <w:widowControl/>
        <w:ind w:firstLine="420"/>
        <w:jc w:val="left"/>
        <w:rPr>
          <w:rFonts w:ascii="宋体"/>
          <w:color w:val="auto"/>
          <w:szCs w:val="21"/>
          <w:highlight w:val="none"/>
          <w:lang w:val="zh-CN"/>
        </w:rPr>
      </w:pPr>
    </w:p>
    <w:p w14:paraId="1D227B15">
      <w:pPr>
        <w:widowControl/>
        <w:ind w:firstLine="420"/>
        <w:jc w:val="left"/>
        <w:rPr>
          <w:rFonts w:ascii="宋体"/>
          <w:color w:val="auto"/>
          <w:szCs w:val="21"/>
          <w:highlight w:val="none"/>
          <w:lang w:val="zh-CN"/>
        </w:rPr>
      </w:pPr>
    </w:p>
    <w:p w14:paraId="1ADB7509">
      <w:pPr>
        <w:widowControl/>
        <w:ind w:firstLine="420"/>
        <w:jc w:val="left"/>
        <w:rPr>
          <w:rFonts w:ascii="宋体"/>
          <w:color w:val="auto"/>
          <w:szCs w:val="21"/>
          <w:highlight w:val="none"/>
          <w:lang w:val="zh-CN"/>
        </w:rPr>
      </w:pPr>
    </w:p>
    <w:p w14:paraId="05C263C9">
      <w:pPr>
        <w:widowControl/>
        <w:ind w:firstLine="420"/>
        <w:jc w:val="left"/>
        <w:rPr>
          <w:rFonts w:ascii="宋体"/>
          <w:color w:val="auto"/>
          <w:szCs w:val="21"/>
          <w:highlight w:val="none"/>
          <w:lang w:val="zh-CN"/>
        </w:rPr>
      </w:pPr>
    </w:p>
    <w:p w14:paraId="36CBF4DF">
      <w:pPr>
        <w:widowControl/>
        <w:ind w:firstLine="420"/>
        <w:jc w:val="left"/>
        <w:rPr>
          <w:rFonts w:ascii="宋体"/>
          <w:color w:val="auto"/>
          <w:szCs w:val="21"/>
          <w:highlight w:val="none"/>
          <w:lang w:val="zh-CN"/>
        </w:rPr>
      </w:pPr>
    </w:p>
    <w:p w14:paraId="79457FBD">
      <w:pPr>
        <w:widowControl/>
        <w:ind w:firstLine="420"/>
        <w:jc w:val="left"/>
        <w:rPr>
          <w:rFonts w:ascii="宋体"/>
          <w:color w:val="auto"/>
          <w:szCs w:val="21"/>
          <w:highlight w:val="none"/>
          <w:lang w:val="zh-CN"/>
        </w:rPr>
      </w:pPr>
    </w:p>
    <w:p w14:paraId="5FB10EA7">
      <w:pPr>
        <w:widowControl/>
        <w:ind w:firstLine="420"/>
        <w:jc w:val="left"/>
        <w:rPr>
          <w:rFonts w:ascii="宋体"/>
          <w:color w:val="auto"/>
          <w:szCs w:val="21"/>
          <w:highlight w:val="none"/>
          <w:lang w:val="zh-CN"/>
        </w:rPr>
      </w:pPr>
    </w:p>
    <w:p w14:paraId="071D917A">
      <w:pPr>
        <w:widowControl/>
        <w:ind w:firstLine="420"/>
        <w:jc w:val="left"/>
        <w:rPr>
          <w:rFonts w:ascii="宋体"/>
          <w:color w:val="auto"/>
          <w:szCs w:val="21"/>
          <w:highlight w:val="none"/>
          <w:lang w:val="zh-CN"/>
        </w:rPr>
      </w:pPr>
    </w:p>
    <w:p w14:paraId="2184A0D9">
      <w:pPr>
        <w:widowControl/>
        <w:ind w:firstLine="420"/>
        <w:jc w:val="left"/>
        <w:rPr>
          <w:rFonts w:ascii="宋体"/>
          <w:color w:val="auto"/>
          <w:szCs w:val="21"/>
          <w:highlight w:val="none"/>
          <w:lang w:val="zh-CN"/>
        </w:rPr>
      </w:pPr>
    </w:p>
    <w:p w14:paraId="6FA9C8B6">
      <w:pPr>
        <w:widowControl/>
        <w:jc w:val="center"/>
        <w:rPr>
          <w:rFonts w:ascii="仿宋" w:hAnsi="仿宋" w:eastAsia="仿宋" w:cs="仿宋"/>
          <w:b/>
          <w:bCs/>
          <w:color w:val="auto"/>
          <w:sz w:val="144"/>
          <w:szCs w:val="21"/>
          <w:highlight w:val="none"/>
          <w:lang w:val="zh-CN"/>
        </w:rPr>
      </w:pPr>
      <w:r>
        <w:rPr>
          <w:rFonts w:hint="eastAsia" w:ascii="仿宋" w:hAnsi="仿宋" w:eastAsia="仿宋" w:cs="仿宋"/>
          <w:b/>
          <w:bCs/>
          <w:color w:val="auto"/>
          <w:sz w:val="144"/>
          <w:szCs w:val="21"/>
          <w:highlight w:val="none"/>
          <w:lang w:val="zh-CN"/>
        </w:rPr>
        <w:t>响应文件</w:t>
      </w:r>
    </w:p>
    <w:p w14:paraId="2FC4737A">
      <w:pPr>
        <w:widowControl/>
        <w:jc w:val="center"/>
        <w:rPr>
          <w:rFonts w:ascii="华文楷体" w:hAnsi="华文楷体" w:eastAsia="华文楷体"/>
          <w:color w:val="auto"/>
          <w:sz w:val="24"/>
          <w:highlight w:val="none"/>
          <w:lang w:val="zh-CN"/>
        </w:rPr>
      </w:pPr>
    </w:p>
    <w:p w14:paraId="3741CE97">
      <w:pPr>
        <w:widowControl/>
        <w:jc w:val="center"/>
        <w:rPr>
          <w:rFonts w:ascii="华文楷体" w:hAnsi="华文楷体" w:eastAsia="华文楷体"/>
          <w:color w:val="auto"/>
          <w:sz w:val="24"/>
          <w:highlight w:val="none"/>
          <w:lang w:val="zh-CN"/>
        </w:rPr>
      </w:pPr>
    </w:p>
    <w:p w14:paraId="5566D36C">
      <w:pPr>
        <w:widowControl/>
        <w:jc w:val="center"/>
        <w:rPr>
          <w:rFonts w:ascii="华文楷体" w:hAnsi="华文楷体" w:eastAsia="华文楷体"/>
          <w:color w:val="auto"/>
          <w:sz w:val="24"/>
          <w:highlight w:val="none"/>
          <w:lang w:val="zh-CN"/>
        </w:rPr>
      </w:pPr>
    </w:p>
    <w:p w14:paraId="39769ABC">
      <w:pPr>
        <w:widowControl/>
        <w:jc w:val="center"/>
        <w:rPr>
          <w:rFonts w:ascii="仿宋" w:hAnsi="仿宋" w:eastAsia="仿宋" w:cs="仿宋"/>
          <w:color w:val="auto"/>
          <w:sz w:val="24"/>
          <w:highlight w:val="none"/>
          <w:lang w:val="zh-CN"/>
        </w:rPr>
      </w:pPr>
    </w:p>
    <w:p w14:paraId="24632888">
      <w:pPr>
        <w:widowControl/>
        <w:spacing w:line="480" w:lineRule="auto"/>
        <w:ind w:firstLine="2400" w:firstLineChars="10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项目名称：</w:t>
      </w:r>
    </w:p>
    <w:p w14:paraId="67744EF7">
      <w:pPr>
        <w:widowControl/>
        <w:spacing w:line="480" w:lineRule="auto"/>
        <w:ind w:firstLine="2400" w:firstLineChars="1000"/>
        <w:rPr>
          <w:rFonts w:ascii="仿宋" w:hAnsi="仿宋" w:eastAsia="仿宋" w:cs="仿宋"/>
          <w:color w:val="auto"/>
          <w:sz w:val="24"/>
          <w:highlight w:val="none"/>
        </w:rPr>
      </w:pPr>
      <w:r>
        <w:rPr>
          <w:rFonts w:hint="eastAsia" w:ascii="仿宋" w:hAnsi="仿宋" w:eastAsia="仿宋" w:cs="仿宋"/>
          <w:color w:val="auto"/>
          <w:sz w:val="24"/>
          <w:highlight w:val="none"/>
          <w:lang w:val="zh-CN"/>
        </w:rPr>
        <w:t>项目编号：</w:t>
      </w:r>
      <w:r>
        <w:rPr>
          <w:rFonts w:hint="eastAsia" w:ascii="仿宋" w:hAnsi="仿宋" w:eastAsia="仿宋" w:cs="仿宋"/>
          <w:color w:val="auto"/>
          <w:sz w:val="24"/>
          <w:highlight w:val="none"/>
        </w:rPr>
        <w:t>\</w:t>
      </w:r>
    </w:p>
    <w:p w14:paraId="745921FE">
      <w:pPr>
        <w:widowControl/>
        <w:spacing w:line="480" w:lineRule="auto"/>
        <w:jc w:val="center"/>
        <w:rPr>
          <w:rFonts w:asciiTheme="majorEastAsia" w:hAnsiTheme="majorEastAsia" w:eastAsiaTheme="majorEastAsia"/>
          <w:color w:val="auto"/>
          <w:sz w:val="24"/>
          <w:highlight w:val="none"/>
          <w:lang w:val="zh-CN"/>
        </w:rPr>
      </w:pPr>
    </w:p>
    <w:p w14:paraId="5FB5873D">
      <w:pPr>
        <w:widowControl/>
        <w:spacing w:line="480" w:lineRule="auto"/>
        <w:jc w:val="center"/>
        <w:rPr>
          <w:rFonts w:asciiTheme="majorEastAsia" w:hAnsiTheme="majorEastAsia" w:eastAsiaTheme="majorEastAsia"/>
          <w:color w:val="auto"/>
          <w:sz w:val="24"/>
          <w:highlight w:val="none"/>
          <w:lang w:val="zh-CN"/>
        </w:rPr>
      </w:pPr>
    </w:p>
    <w:p w14:paraId="2043D7E0">
      <w:pPr>
        <w:widowControl/>
        <w:spacing w:line="480" w:lineRule="auto"/>
        <w:jc w:val="center"/>
        <w:rPr>
          <w:rFonts w:asciiTheme="majorEastAsia" w:hAnsiTheme="majorEastAsia" w:eastAsiaTheme="majorEastAsia"/>
          <w:color w:val="auto"/>
          <w:sz w:val="24"/>
          <w:highlight w:val="none"/>
          <w:lang w:val="zh-CN"/>
        </w:rPr>
      </w:pPr>
    </w:p>
    <w:p w14:paraId="747CB97C">
      <w:pPr>
        <w:widowControl/>
        <w:spacing w:line="480" w:lineRule="auto"/>
        <w:jc w:val="center"/>
        <w:rPr>
          <w:rFonts w:asciiTheme="majorEastAsia" w:hAnsiTheme="majorEastAsia" w:eastAsiaTheme="majorEastAsia"/>
          <w:color w:val="auto"/>
          <w:sz w:val="24"/>
          <w:highlight w:val="none"/>
          <w:lang w:val="zh-CN"/>
        </w:rPr>
      </w:pPr>
    </w:p>
    <w:p w14:paraId="1AAFA485">
      <w:pPr>
        <w:widowControl/>
        <w:spacing w:line="480" w:lineRule="auto"/>
        <w:rPr>
          <w:rFonts w:ascii="仿宋" w:hAnsi="仿宋" w:eastAsia="仿宋" w:cs="仿宋"/>
          <w:color w:val="auto"/>
          <w:sz w:val="24"/>
          <w:highlight w:val="none"/>
          <w:lang w:val="zh-CN"/>
        </w:rPr>
      </w:pPr>
    </w:p>
    <w:p w14:paraId="0870194B">
      <w:pPr>
        <w:widowControl/>
        <w:spacing w:line="480" w:lineRule="auto"/>
        <w:ind w:firstLine="1680" w:firstLineChars="7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供应商全称（公章）：</w:t>
      </w:r>
      <w:r>
        <w:rPr>
          <w:rFonts w:hint="eastAsia" w:ascii="仿宋" w:hAnsi="仿宋" w:eastAsia="仿宋" w:cs="仿宋"/>
          <w:color w:val="auto"/>
          <w:sz w:val="24"/>
          <w:highlight w:val="none"/>
          <w:u w:val="single"/>
          <w:lang w:val="zh-CN"/>
        </w:rPr>
        <w:t xml:space="preserve">                      </w:t>
      </w:r>
    </w:p>
    <w:p w14:paraId="37CBBFE9">
      <w:pPr>
        <w:widowControl/>
        <w:spacing w:line="480" w:lineRule="auto"/>
        <w:ind w:firstLine="1680" w:firstLineChars="7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日             期：</w:t>
      </w:r>
      <w:r>
        <w:rPr>
          <w:rFonts w:hint="eastAsia" w:ascii="仿宋" w:hAnsi="仿宋" w:eastAsia="仿宋" w:cs="仿宋"/>
          <w:color w:val="auto"/>
          <w:sz w:val="24"/>
          <w:highlight w:val="none"/>
          <w:u w:val="single"/>
          <w:lang w:val="zh-CN"/>
        </w:rPr>
        <w:t xml:space="preserve">                      </w:t>
      </w:r>
    </w:p>
    <w:p w14:paraId="4D38B6E5">
      <w:pPr>
        <w:widowControl/>
        <w:spacing w:line="480" w:lineRule="auto"/>
        <w:ind w:firstLine="562"/>
        <w:jc w:val="center"/>
        <w:rPr>
          <w:rFonts w:ascii="仿宋" w:hAnsi="仿宋" w:eastAsia="仿宋" w:cs="仿宋"/>
          <w:b/>
          <w:color w:val="auto"/>
          <w:sz w:val="28"/>
          <w:szCs w:val="22"/>
          <w:highlight w:val="none"/>
          <w:lang w:val="zh-CN"/>
        </w:rPr>
      </w:pPr>
    </w:p>
    <w:p w14:paraId="71066AAA">
      <w:pPr>
        <w:widowControl/>
        <w:spacing w:line="480" w:lineRule="auto"/>
        <w:ind w:firstLine="561"/>
        <w:jc w:val="center"/>
        <w:rPr>
          <w:rFonts w:ascii="仿宋" w:hAnsi="仿宋" w:eastAsia="仿宋" w:cs="仿宋"/>
          <w:b/>
          <w:color w:val="auto"/>
          <w:sz w:val="28"/>
          <w:szCs w:val="22"/>
          <w:highlight w:val="none"/>
          <w:lang w:val="zh-CN"/>
        </w:rPr>
      </w:pPr>
      <w:r>
        <w:rPr>
          <w:rFonts w:hint="eastAsia" w:ascii="仿宋" w:hAnsi="仿宋" w:eastAsia="仿宋" w:cs="仿宋"/>
          <w:b/>
          <w:color w:val="auto"/>
          <w:sz w:val="28"/>
          <w:szCs w:val="22"/>
          <w:highlight w:val="none"/>
          <w:lang w:val="zh-CN"/>
        </w:rPr>
        <w:t>评分 索引表</w:t>
      </w:r>
    </w:p>
    <w:p w14:paraId="65E5595D">
      <w:pPr>
        <w:widowControl/>
        <w:jc w:val="left"/>
        <w:rPr>
          <w:rFonts w:ascii="仿宋" w:hAnsi="仿宋" w:eastAsia="仿宋" w:cs="仿宋"/>
          <w:color w:val="auto"/>
          <w:sz w:val="24"/>
          <w:highlight w:val="none"/>
        </w:rPr>
      </w:pPr>
      <w:r>
        <w:rPr>
          <w:rFonts w:hint="eastAsia" w:ascii="仿宋" w:hAnsi="仿宋" w:eastAsia="仿宋" w:cs="仿宋"/>
          <w:color w:val="auto"/>
          <w:sz w:val="24"/>
          <w:highlight w:val="none"/>
          <w:lang w:val="zh-CN"/>
        </w:rPr>
        <w:t xml:space="preserve">项目名称：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zh-CN"/>
        </w:rPr>
        <w:t>项目编号：</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1"/>
        <w:gridCol w:w="4719"/>
        <w:gridCol w:w="3020"/>
      </w:tblGrid>
      <w:tr w14:paraId="7DC23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4004CE3F">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5029" w:type="dxa"/>
            <w:vAlign w:val="center"/>
          </w:tcPr>
          <w:p w14:paraId="43F7817B">
            <w:pPr>
              <w:jc w:val="center"/>
              <w:rPr>
                <w:rFonts w:ascii="仿宋" w:hAnsi="仿宋" w:eastAsia="仿宋" w:cs="仿宋"/>
                <w:color w:val="auto"/>
                <w:sz w:val="24"/>
                <w:highlight w:val="none"/>
              </w:rPr>
            </w:pPr>
            <w:r>
              <w:rPr>
                <w:rFonts w:hint="eastAsia" w:ascii="仿宋" w:hAnsi="仿宋" w:eastAsia="仿宋" w:cs="仿宋"/>
                <w:color w:val="auto"/>
                <w:sz w:val="24"/>
                <w:highlight w:val="none"/>
              </w:rPr>
              <w:t>评分要素</w:t>
            </w:r>
          </w:p>
        </w:tc>
        <w:tc>
          <w:tcPr>
            <w:tcW w:w="3207" w:type="dxa"/>
            <w:vAlign w:val="center"/>
          </w:tcPr>
          <w:p w14:paraId="1552105F">
            <w:pPr>
              <w:rPr>
                <w:rFonts w:ascii="仿宋" w:hAnsi="仿宋" w:eastAsia="仿宋" w:cs="仿宋"/>
                <w:color w:val="auto"/>
                <w:sz w:val="24"/>
                <w:highlight w:val="none"/>
              </w:rPr>
            </w:pPr>
            <w:r>
              <w:rPr>
                <w:rFonts w:hint="eastAsia" w:ascii="仿宋" w:hAnsi="仿宋" w:eastAsia="仿宋" w:cs="仿宋"/>
                <w:color w:val="auto"/>
                <w:sz w:val="24"/>
                <w:highlight w:val="none"/>
              </w:rPr>
              <w:t>具体证明文件所在响应文件页码</w:t>
            </w:r>
          </w:p>
        </w:tc>
      </w:tr>
      <w:tr w14:paraId="75333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57B634EA">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p>
        </w:tc>
        <w:tc>
          <w:tcPr>
            <w:tcW w:w="5029" w:type="dxa"/>
            <w:vAlign w:val="center"/>
          </w:tcPr>
          <w:p w14:paraId="6EF9D28A">
            <w:pPr>
              <w:widowControl/>
              <w:ind w:firstLine="482"/>
              <w:jc w:val="left"/>
              <w:rPr>
                <w:rFonts w:ascii="仿宋" w:hAnsi="仿宋" w:eastAsia="仿宋" w:cs="仿宋"/>
                <w:b/>
                <w:color w:val="auto"/>
                <w:sz w:val="24"/>
                <w:highlight w:val="none"/>
                <w:lang w:val="zh-CN"/>
              </w:rPr>
            </w:pPr>
          </w:p>
        </w:tc>
        <w:tc>
          <w:tcPr>
            <w:tcW w:w="3207" w:type="dxa"/>
            <w:vAlign w:val="center"/>
          </w:tcPr>
          <w:p w14:paraId="6110FFCC">
            <w:pPr>
              <w:widowControl/>
              <w:ind w:firstLine="482"/>
              <w:jc w:val="left"/>
              <w:rPr>
                <w:rFonts w:ascii="仿宋" w:hAnsi="仿宋" w:eastAsia="仿宋" w:cs="仿宋"/>
                <w:b/>
                <w:color w:val="auto"/>
                <w:sz w:val="24"/>
                <w:highlight w:val="none"/>
                <w:lang w:val="zh-CN"/>
              </w:rPr>
            </w:pPr>
          </w:p>
        </w:tc>
      </w:tr>
      <w:tr w14:paraId="62627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3FD810AE">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p>
        </w:tc>
        <w:tc>
          <w:tcPr>
            <w:tcW w:w="5029" w:type="dxa"/>
            <w:vAlign w:val="center"/>
          </w:tcPr>
          <w:p w14:paraId="3D687F73">
            <w:pPr>
              <w:widowControl/>
              <w:ind w:firstLine="482"/>
              <w:jc w:val="left"/>
              <w:rPr>
                <w:rFonts w:ascii="仿宋" w:hAnsi="仿宋" w:eastAsia="仿宋" w:cs="仿宋"/>
                <w:b/>
                <w:color w:val="auto"/>
                <w:sz w:val="24"/>
                <w:highlight w:val="none"/>
                <w:lang w:val="zh-CN"/>
              </w:rPr>
            </w:pPr>
          </w:p>
        </w:tc>
        <w:tc>
          <w:tcPr>
            <w:tcW w:w="3207" w:type="dxa"/>
            <w:vAlign w:val="center"/>
          </w:tcPr>
          <w:p w14:paraId="6C678E87">
            <w:pPr>
              <w:widowControl/>
              <w:ind w:firstLine="482"/>
              <w:jc w:val="left"/>
              <w:rPr>
                <w:rFonts w:ascii="仿宋" w:hAnsi="仿宋" w:eastAsia="仿宋" w:cs="仿宋"/>
                <w:b/>
                <w:color w:val="auto"/>
                <w:sz w:val="24"/>
                <w:highlight w:val="none"/>
                <w:lang w:val="zh-CN"/>
              </w:rPr>
            </w:pPr>
          </w:p>
        </w:tc>
      </w:tr>
      <w:tr w14:paraId="12A33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6AF43B9F">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w:t>
            </w:r>
          </w:p>
        </w:tc>
        <w:tc>
          <w:tcPr>
            <w:tcW w:w="5029" w:type="dxa"/>
            <w:vAlign w:val="center"/>
          </w:tcPr>
          <w:p w14:paraId="147E3FEA">
            <w:pPr>
              <w:widowControl/>
              <w:ind w:firstLine="482"/>
              <w:jc w:val="left"/>
              <w:rPr>
                <w:rFonts w:ascii="仿宋" w:hAnsi="仿宋" w:eastAsia="仿宋" w:cs="仿宋"/>
                <w:b/>
                <w:color w:val="auto"/>
                <w:sz w:val="24"/>
                <w:highlight w:val="none"/>
                <w:lang w:val="zh-CN"/>
              </w:rPr>
            </w:pPr>
          </w:p>
        </w:tc>
        <w:tc>
          <w:tcPr>
            <w:tcW w:w="3207" w:type="dxa"/>
            <w:vAlign w:val="center"/>
          </w:tcPr>
          <w:p w14:paraId="3763DCCA">
            <w:pPr>
              <w:widowControl/>
              <w:ind w:firstLine="482"/>
              <w:jc w:val="left"/>
              <w:rPr>
                <w:rFonts w:ascii="仿宋" w:hAnsi="仿宋" w:eastAsia="仿宋" w:cs="仿宋"/>
                <w:b/>
                <w:color w:val="auto"/>
                <w:sz w:val="24"/>
                <w:highlight w:val="none"/>
                <w:lang w:val="zh-CN"/>
              </w:rPr>
            </w:pPr>
          </w:p>
        </w:tc>
      </w:tr>
      <w:tr w14:paraId="64169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44156ACD">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w:t>
            </w:r>
          </w:p>
        </w:tc>
        <w:tc>
          <w:tcPr>
            <w:tcW w:w="5029" w:type="dxa"/>
            <w:vAlign w:val="center"/>
          </w:tcPr>
          <w:p w14:paraId="680F14EE">
            <w:pPr>
              <w:widowControl/>
              <w:ind w:firstLine="482"/>
              <w:jc w:val="left"/>
              <w:rPr>
                <w:rFonts w:ascii="仿宋" w:hAnsi="仿宋" w:eastAsia="仿宋" w:cs="仿宋"/>
                <w:b/>
                <w:color w:val="auto"/>
                <w:sz w:val="24"/>
                <w:highlight w:val="none"/>
                <w:lang w:val="zh-CN"/>
              </w:rPr>
            </w:pPr>
          </w:p>
        </w:tc>
        <w:tc>
          <w:tcPr>
            <w:tcW w:w="3207" w:type="dxa"/>
            <w:vAlign w:val="center"/>
          </w:tcPr>
          <w:p w14:paraId="52D08566">
            <w:pPr>
              <w:widowControl/>
              <w:ind w:firstLine="482"/>
              <w:jc w:val="left"/>
              <w:rPr>
                <w:rFonts w:ascii="仿宋" w:hAnsi="仿宋" w:eastAsia="仿宋" w:cs="仿宋"/>
                <w:b/>
                <w:color w:val="auto"/>
                <w:sz w:val="24"/>
                <w:highlight w:val="none"/>
                <w:lang w:val="zh-CN"/>
              </w:rPr>
            </w:pPr>
          </w:p>
        </w:tc>
      </w:tr>
      <w:tr w14:paraId="6A05C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03745F0D">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w:t>
            </w:r>
          </w:p>
        </w:tc>
        <w:tc>
          <w:tcPr>
            <w:tcW w:w="5029" w:type="dxa"/>
            <w:vAlign w:val="center"/>
          </w:tcPr>
          <w:p w14:paraId="13A038D5">
            <w:pPr>
              <w:widowControl/>
              <w:ind w:firstLine="482"/>
              <w:jc w:val="left"/>
              <w:rPr>
                <w:rFonts w:ascii="仿宋" w:hAnsi="仿宋" w:eastAsia="仿宋" w:cs="仿宋"/>
                <w:b/>
                <w:color w:val="auto"/>
                <w:sz w:val="24"/>
                <w:highlight w:val="none"/>
                <w:lang w:val="zh-CN"/>
              </w:rPr>
            </w:pPr>
          </w:p>
        </w:tc>
        <w:tc>
          <w:tcPr>
            <w:tcW w:w="3207" w:type="dxa"/>
            <w:vAlign w:val="center"/>
          </w:tcPr>
          <w:p w14:paraId="6A5020C5">
            <w:pPr>
              <w:widowControl/>
              <w:ind w:firstLine="482"/>
              <w:jc w:val="left"/>
              <w:rPr>
                <w:rFonts w:ascii="仿宋" w:hAnsi="仿宋" w:eastAsia="仿宋" w:cs="仿宋"/>
                <w:b/>
                <w:color w:val="auto"/>
                <w:sz w:val="24"/>
                <w:highlight w:val="none"/>
                <w:lang w:val="zh-CN"/>
              </w:rPr>
            </w:pPr>
          </w:p>
        </w:tc>
      </w:tr>
      <w:tr w14:paraId="30ED0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7583D582">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6</w:t>
            </w:r>
          </w:p>
        </w:tc>
        <w:tc>
          <w:tcPr>
            <w:tcW w:w="5029" w:type="dxa"/>
            <w:vAlign w:val="center"/>
          </w:tcPr>
          <w:p w14:paraId="29C3FE2C">
            <w:pPr>
              <w:widowControl/>
              <w:ind w:firstLine="482"/>
              <w:jc w:val="left"/>
              <w:rPr>
                <w:rFonts w:ascii="仿宋" w:hAnsi="仿宋" w:eastAsia="仿宋" w:cs="仿宋"/>
                <w:b/>
                <w:color w:val="auto"/>
                <w:sz w:val="24"/>
                <w:highlight w:val="none"/>
                <w:lang w:val="zh-CN"/>
              </w:rPr>
            </w:pPr>
          </w:p>
        </w:tc>
        <w:tc>
          <w:tcPr>
            <w:tcW w:w="3207" w:type="dxa"/>
            <w:vAlign w:val="center"/>
          </w:tcPr>
          <w:p w14:paraId="00862DAD">
            <w:pPr>
              <w:widowControl/>
              <w:ind w:firstLine="482"/>
              <w:jc w:val="left"/>
              <w:rPr>
                <w:rFonts w:ascii="仿宋" w:hAnsi="仿宋" w:eastAsia="仿宋" w:cs="仿宋"/>
                <w:b/>
                <w:color w:val="auto"/>
                <w:sz w:val="24"/>
                <w:highlight w:val="none"/>
                <w:lang w:val="zh-CN"/>
              </w:rPr>
            </w:pPr>
          </w:p>
        </w:tc>
      </w:tr>
      <w:tr w14:paraId="511E6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4F6332CD">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7</w:t>
            </w:r>
          </w:p>
        </w:tc>
        <w:tc>
          <w:tcPr>
            <w:tcW w:w="5029" w:type="dxa"/>
            <w:vAlign w:val="center"/>
          </w:tcPr>
          <w:p w14:paraId="58F96A42">
            <w:pPr>
              <w:widowControl/>
              <w:ind w:firstLine="482"/>
              <w:jc w:val="left"/>
              <w:rPr>
                <w:rFonts w:ascii="仿宋" w:hAnsi="仿宋" w:eastAsia="仿宋" w:cs="仿宋"/>
                <w:b/>
                <w:color w:val="auto"/>
                <w:sz w:val="24"/>
                <w:highlight w:val="none"/>
                <w:lang w:val="zh-CN"/>
              </w:rPr>
            </w:pPr>
          </w:p>
        </w:tc>
        <w:tc>
          <w:tcPr>
            <w:tcW w:w="3207" w:type="dxa"/>
            <w:vAlign w:val="center"/>
          </w:tcPr>
          <w:p w14:paraId="60400CFA">
            <w:pPr>
              <w:widowControl/>
              <w:ind w:firstLine="482"/>
              <w:jc w:val="left"/>
              <w:rPr>
                <w:rFonts w:ascii="仿宋" w:hAnsi="仿宋" w:eastAsia="仿宋" w:cs="仿宋"/>
                <w:b/>
                <w:color w:val="auto"/>
                <w:sz w:val="24"/>
                <w:highlight w:val="none"/>
                <w:lang w:val="zh-CN"/>
              </w:rPr>
            </w:pPr>
          </w:p>
        </w:tc>
      </w:tr>
      <w:tr w14:paraId="412C1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0AAD8663">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8</w:t>
            </w:r>
          </w:p>
        </w:tc>
        <w:tc>
          <w:tcPr>
            <w:tcW w:w="5029" w:type="dxa"/>
            <w:vAlign w:val="center"/>
          </w:tcPr>
          <w:p w14:paraId="4ED18F55">
            <w:pPr>
              <w:widowControl/>
              <w:ind w:firstLine="482"/>
              <w:jc w:val="left"/>
              <w:rPr>
                <w:rFonts w:ascii="仿宋" w:hAnsi="仿宋" w:eastAsia="仿宋" w:cs="仿宋"/>
                <w:b/>
                <w:color w:val="auto"/>
                <w:sz w:val="24"/>
                <w:highlight w:val="none"/>
                <w:lang w:val="zh-CN"/>
              </w:rPr>
            </w:pPr>
          </w:p>
        </w:tc>
        <w:tc>
          <w:tcPr>
            <w:tcW w:w="3207" w:type="dxa"/>
            <w:vAlign w:val="center"/>
          </w:tcPr>
          <w:p w14:paraId="26D085F6">
            <w:pPr>
              <w:widowControl/>
              <w:ind w:firstLine="482"/>
              <w:jc w:val="left"/>
              <w:rPr>
                <w:rFonts w:ascii="仿宋" w:hAnsi="仿宋" w:eastAsia="仿宋" w:cs="仿宋"/>
                <w:b/>
                <w:color w:val="auto"/>
                <w:sz w:val="24"/>
                <w:highlight w:val="none"/>
                <w:lang w:val="zh-CN"/>
              </w:rPr>
            </w:pPr>
          </w:p>
        </w:tc>
      </w:tr>
      <w:tr w14:paraId="1ED39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771B5169">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9</w:t>
            </w:r>
          </w:p>
        </w:tc>
        <w:tc>
          <w:tcPr>
            <w:tcW w:w="5029" w:type="dxa"/>
            <w:vAlign w:val="center"/>
          </w:tcPr>
          <w:p w14:paraId="1D29119C">
            <w:pPr>
              <w:widowControl/>
              <w:ind w:firstLine="482"/>
              <w:jc w:val="left"/>
              <w:rPr>
                <w:rFonts w:ascii="仿宋" w:hAnsi="仿宋" w:eastAsia="仿宋" w:cs="仿宋"/>
                <w:b/>
                <w:color w:val="auto"/>
                <w:sz w:val="24"/>
                <w:highlight w:val="none"/>
                <w:lang w:val="zh-CN"/>
              </w:rPr>
            </w:pPr>
          </w:p>
        </w:tc>
        <w:tc>
          <w:tcPr>
            <w:tcW w:w="3207" w:type="dxa"/>
            <w:vAlign w:val="center"/>
          </w:tcPr>
          <w:p w14:paraId="527B8482">
            <w:pPr>
              <w:widowControl/>
              <w:ind w:firstLine="482"/>
              <w:jc w:val="left"/>
              <w:rPr>
                <w:rFonts w:ascii="仿宋" w:hAnsi="仿宋" w:eastAsia="仿宋" w:cs="仿宋"/>
                <w:b/>
                <w:color w:val="auto"/>
                <w:sz w:val="24"/>
                <w:highlight w:val="none"/>
                <w:lang w:val="zh-CN"/>
              </w:rPr>
            </w:pPr>
          </w:p>
        </w:tc>
      </w:tr>
      <w:tr w14:paraId="313D4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55915754">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10</w:t>
            </w:r>
          </w:p>
        </w:tc>
        <w:tc>
          <w:tcPr>
            <w:tcW w:w="5029" w:type="dxa"/>
            <w:vAlign w:val="center"/>
          </w:tcPr>
          <w:p w14:paraId="1EFD3D35">
            <w:pPr>
              <w:widowControl/>
              <w:ind w:firstLine="482"/>
              <w:jc w:val="left"/>
              <w:rPr>
                <w:rFonts w:ascii="仿宋" w:hAnsi="仿宋" w:eastAsia="仿宋" w:cs="仿宋"/>
                <w:b/>
                <w:color w:val="auto"/>
                <w:sz w:val="24"/>
                <w:highlight w:val="none"/>
                <w:lang w:val="zh-CN"/>
              </w:rPr>
            </w:pPr>
          </w:p>
        </w:tc>
        <w:tc>
          <w:tcPr>
            <w:tcW w:w="3207" w:type="dxa"/>
            <w:vAlign w:val="center"/>
          </w:tcPr>
          <w:p w14:paraId="34A67654">
            <w:pPr>
              <w:widowControl/>
              <w:ind w:firstLine="482"/>
              <w:jc w:val="left"/>
              <w:rPr>
                <w:rFonts w:ascii="仿宋" w:hAnsi="仿宋" w:eastAsia="仿宋" w:cs="仿宋"/>
                <w:b/>
                <w:color w:val="auto"/>
                <w:sz w:val="24"/>
                <w:highlight w:val="none"/>
                <w:lang w:val="zh-CN"/>
              </w:rPr>
            </w:pPr>
          </w:p>
        </w:tc>
      </w:tr>
    </w:tbl>
    <w:p w14:paraId="22DBD369">
      <w:pPr>
        <w:widowControl/>
        <w:jc w:val="left"/>
        <w:rPr>
          <w:rFonts w:ascii="仿宋" w:hAnsi="仿宋" w:eastAsia="仿宋" w:cs="仿宋"/>
          <w:b/>
          <w:color w:val="auto"/>
          <w:sz w:val="24"/>
          <w:highlight w:val="none"/>
          <w:lang w:val="zh-CN"/>
        </w:rPr>
      </w:pPr>
      <w:r>
        <w:rPr>
          <w:rFonts w:hint="eastAsia" w:ascii="仿宋" w:hAnsi="仿宋" w:eastAsia="仿宋" w:cs="仿宋"/>
          <w:color w:val="auto"/>
          <w:sz w:val="24"/>
          <w:highlight w:val="none"/>
          <w:lang w:val="zh-CN"/>
        </w:rPr>
        <w:t>注：此表请根据“</w:t>
      </w:r>
      <w:r>
        <w:rPr>
          <w:rFonts w:hint="eastAsia" w:ascii="仿宋" w:hAnsi="仿宋" w:eastAsia="仿宋" w:cs="仿宋"/>
          <w:color w:val="auto"/>
          <w:sz w:val="24"/>
          <w:highlight w:val="none"/>
        </w:rPr>
        <w:t>评审</w:t>
      </w:r>
      <w:r>
        <w:rPr>
          <w:rFonts w:hint="eastAsia" w:ascii="仿宋" w:hAnsi="仿宋" w:eastAsia="仿宋" w:cs="仿宋"/>
          <w:color w:val="auto"/>
          <w:sz w:val="24"/>
          <w:highlight w:val="none"/>
          <w:lang w:val="zh-CN"/>
        </w:rPr>
        <w:t>标准”制定</w:t>
      </w:r>
    </w:p>
    <w:p w14:paraId="70F89542">
      <w:pPr>
        <w:widowControl/>
        <w:jc w:val="left"/>
        <w:rPr>
          <w:rFonts w:ascii="仿宋" w:hAnsi="仿宋" w:eastAsia="仿宋" w:cs="仿宋"/>
          <w:b/>
          <w:color w:val="auto"/>
          <w:sz w:val="28"/>
          <w:szCs w:val="22"/>
          <w:highlight w:val="none"/>
        </w:rPr>
      </w:pPr>
      <w:bookmarkStart w:id="101" w:name="_Toc21008"/>
      <w:r>
        <w:rPr>
          <w:rFonts w:ascii="仿宋" w:hAnsi="仿宋" w:eastAsia="仿宋" w:cs="仿宋"/>
          <w:b/>
          <w:color w:val="auto"/>
          <w:sz w:val="28"/>
          <w:szCs w:val="22"/>
          <w:highlight w:val="none"/>
        </w:rPr>
        <w:br w:type="page"/>
      </w:r>
    </w:p>
    <w:p w14:paraId="62BA7D15">
      <w:pPr>
        <w:widowControl/>
        <w:spacing w:line="480" w:lineRule="auto"/>
        <w:ind w:firstLine="561"/>
        <w:jc w:val="center"/>
        <w:rPr>
          <w:rFonts w:ascii="微软雅黑" w:hAnsi="微软雅黑" w:eastAsia="微软雅黑" w:cs="微软雅黑"/>
          <w:b/>
          <w:color w:val="auto"/>
          <w:sz w:val="28"/>
          <w:szCs w:val="22"/>
          <w:highlight w:val="none"/>
          <w:lang w:val="zh-CN"/>
        </w:rPr>
      </w:pPr>
      <w:r>
        <w:rPr>
          <w:rFonts w:hint="eastAsia" w:ascii="仿宋" w:hAnsi="仿宋" w:eastAsia="仿宋" w:cs="仿宋"/>
          <w:b/>
          <w:color w:val="auto"/>
          <w:sz w:val="28"/>
          <w:szCs w:val="22"/>
          <w:highlight w:val="none"/>
        </w:rPr>
        <w:t>资格项</w:t>
      </w:r>
      <w:r>
        <w:rPr>
          <w:rFonts w:hint="eastAsia" w:ascii="仿宋" w:hAnsi="仿宋" w:eastAsia="仿宋" w:cs="仿宋"/>
          <w:b/>
          <w:color w:val="auto"/>
          <w:sz w:val="28"/>
          <w:szCs w:val="22"/>
          <w:highlight w:val="none"/>
          <w:lang w:val="zh-CN"/>
        </w:rPr>
        <w:t xml:space="preserve"> 索引表</w:t>
      </w:r>
      <w:bookmarkEnd w:id="101"/>
    </w:p>
    <w:p w14:paraId="37F738A4">
      <w:pPr>
        <w:widowControl/>
        <w:jc w:val="left"/>
        <w:rPr>
          <w:rFonts w:ascii="仿宋" w:hAnsi="仿宋" w:eastAsia="仿宋" w:cs="仿宋"/>
          <w:color w:val="auto"/>
          <w:sz w:val="24"/>
          <w:highlight w:val="none"/>
        </w:rPr>
      </w:pPr>
      <w:r>
        <w:rPr>
          <w:rFonts w:hint="eastAsia" w:ascii="仿宋" w:hAnsi="仿宋" w:eastAsia="仿宋" w:cs="仿宋"/>
          <w:color w:val="auto"/>
          <w:sz w:val="24"/>
          <w:highlight w:val="none"/>
          <w:lang w:val="zh-CN"/>
        </w:rPr>
        <w:t>项目名称：</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zh-CN"/>
        </w:rPr>
        <w:t>项目编号：</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0"/>
        <w:gridCol w:w="5877"/>
        <w:gridCol w:w="2253"/>
      </w:tblGrid>
      <w:tr w14:paraId="462CB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3C6FD447">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6272" w:type="dxa"/>
            <w:vAlign w:val="center"/>
          </w:tcPr>
          <w:p w14:paraId="66C847A5">
            <w:pPr>
              <w:jc w:val="center"/>
              <w:rPr>
                <w:rFonts w:ascii="仿宋" w:hAnsi="仿宋" w:eastAsia="仿宋" w:cs="仿宋"/>
                <w:color w:val="auto"/>
                <w:sz w:val="24"/>
                <w:highlight w:val="none"/>
              </w:rPr>
            </w:pPr>
            <w:r>
              <w:rPr>
                <w:rFonts w:hint="eastAsia" w:ascii="仿宋" w:hAnsi="仿宋" w:eastAsia="仿宋" w:cs="仿宋"/>
                <w:color w:val="auto"/>
                <w:sz w:val="24"/>
                <w:highlight w:val="none"/>
              </w:rPr>
              <w:t>资格项</w:t>
            </w:r>
          </w:p>
        </w:tc>
        <w:tc>
          <w:tcPr>
            <w:tcW w:w="2384" w:type="dxa"/>
            <w:vAlign w:val="center"/>
          </w:tcPr>
          <w:p w14:paraId="2E0566A8">
            <w:pPr>
              <w:jc w:val="center"/>
              <w:rPr>
                <w:rFonts w:ascii="仿宋" w:hAnsi="仿宋" w:eastAsia="仿宋" w:cs="仿宋"/>
                <w:color w:val="auto"/>
                <w:sz w:val="24"/>
                <w:highlight w:val="none"/>
              </w:rPr>
            </w:pPr>
            <w:r>
              <w:rPr>
                <w:rFonts w:hint="eastAsia" w:ascii="仿宋" w:hAnsi="仿宋" w:eastAsia="仿宋" w:cs="仿宋"/>
                <w:color w:val="auto"/>
                <w:sz w:val="24"/>
                <w:highlight w:val="none"/>
              </w:rPr>
              <w:t>页码</w:t>
            </w:r>
          </w:p>
        </w:tc>
      </w:tr>
      <w:tr w14:paraId="4AC77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6ED37B8D">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p>
        </w:tc>
        <w:tc>
          <w:tcPr>
            <w:tcW w:w="6272" w:type="dxa"/>
            <w:vAlign w:val="center"/>
          </w:tcPr>
          <w:p w14:paraId="23671A27">
            <w:pPr>
              <w:ind w:firstLine="482"/>
              <w:rPr>
                <w:rFonts w:ascii="仿宋" w:hAnsi="仿宋" w:eastAsia="仿宋" w:cs="仿宋"/>
                <w:b/>
                <w:color w:val="auto"/>
                <w:sz w:val="24"/>
                <w:highlight w:val="none"/>
                <w:lang w:val="zh-CN"/>
              </w:rPr>
            </w:pPr>
          </w:p>
        </w:tc>
        <w:tc>
          <w:tcPr>
            <w:tcW w:w="2384" w:type="dxa"/>
            <w:vAlign w:val="center"/>
          </w:tcPr>
          <w:p w14:paraId="181BE2F6">
            <w:pPr>
              <w:widowControl/>
              <w:jc w:val="center"/>
              <w:rPr>
                <w:rFonts w:ascii="仿宋" w:hAnsi="仿宋" w:eastAsia="仿宋" w:cs="仿宋"/>
                <w:bCs/>
                <w:color w:val="auto"/>
                <w:sz w:val="24"/>
                <w:highlight w:val="none"/>
              </w:rPr>
            </w:pPr>
          </w:p>
        </w:tc>
      </w:tr>
      <w:tr w14:paraId="7C9A7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16E07190">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p>
        </w:tc>
        <w:tc>
          <w:tcPr>
            <w:tcW w:w="6272" w:type="dxa"/>
            <w:vAlign w:val="center"/>
          </w:tcPr>
          <w:p w14:paraId="21CDF801">
            <w:pPr>
              <w:widowControl/>
              <w:ind w:firstLine="482"/>
              <w:jc w:val="left"/>
              <w:rPr>
                <w:rFonts w:ascii="仿宋" w:hAnsi="仿宋" w:eastAsia="仿宋" w:cs="仿宋"/>
                <w:b/>
                <w:color w:val="auto"/>
                <w:sz w:val="24"/>
                <w:highlight w:val="none"/>
                <w:lang w:val="zh-CN"/>
              </w:rPr>
            </w:pPr>
          </w:p>
        </w:tc>
        <w:tc>
          <w:tcPr>
            <w:tcW w:w="2384" w:type="dxa"/>
            <w:vAlign w:val="center"/>
          </w:tcPr>
          <w:p w14:paraId="6E2BC7E2">
            <w:pPr>
              <w:widowControl/>
              <w:jc w:val="center"/>
              <w:rPr>
                <w:rFonts w:ascii="仿宋" w:hAnsi="仿宋" w:eastAsia="仿宋" w:cs="仿宋"/>
                <w:bCs/>
                <w:color w:val="auto"/>
                <w:sz w:val="24"/>
                <w:highlight w:val="none"/>
              </w:rPr>
            </w:pPr>
          </w:p>
        </w:tc>
      </w:tr>
      <w:tr w14:paraId="54CCA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3F1C4C57">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w:t>
            </w:r>
          </w:p>
        </w:tc>
        <w:tc>
          <w:tcPr>
            <w:tcW w:w="6272" w:type="dxa"/>
            <w:vAlign w:val="center"/>
          </w:tcPr>
          <w:p w14:paraId="067177E4">
            <w:pPr>
              <w:ind w:firstLine="482"/>
              <w:rPr>
                <w:rFonts w:ascii="仿宋" w:hAnsi="仿宋" w:eastAsia="仿宋" w:cs="仿宋"/>
                <w:b/>
                <w:color w:val="auto"/>
                <w:sz w:val="24"/>
                <w:highlight w:val="none"/>
                <w:lang w:val="zh-CN"/>
              </w:rPr>
            </w:pPr>
          </w:p>
        </w:tc>
        <w:tc>
          <w:tcPr>
            <w:tcW w:w="2384" w:type="dxa"/>
            <w:vAlign w:val="center"/>
          </w:tcPr>
          <w:p w14:paraId="523EACF6">
            <w:pPr>
              <w:widowControl/>
              <w:jc w:val="center"/>
              <w:rPr>
                <w:rFonts w:ascii="仿宋" w:hAnsi="仿宋" w:eastAsia="仿宋" w:cs="仿宋"/>
                <w:bCs/>
                <w:color w:val="auto"/>
                <w:sz w:val="24"/>
                <w:highlight w:val="none"/>
              </w:rPr>
            </w:pPr>
          </w:p>
        </w:tc>
      </w:tr>
      <w:tr w14:paraId="7E44B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572AEB87">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w:t>
            </w:r>
          </w:p>
        </w:tc>
        <w:tc>
          <w:tcPr>
            <w:tcW w:w="6272" w:type="dxa"/>
            <w:vAlign w:val="center"/>
          </w:tcPr>
          <w:p w14:paraId="39180FE6">
            <w:pPr>
              <w:ind w:firstLine="482"/>
              <w:rPr>
                <w:rFonts w:ascii="仿宋" w:hAnsi="仿宋" w:eastAsia="仿宋" w:cs="仿宋"/>
                <w:b/>
                <w:color w:val="auto"/>
                <w:sz w:val="24"/>
                <w:highlight w:val="none"/>
                <w:lang w:val="zh-CN"/>
              </w:rPr>
            </w:pPr>
          </w:p>
        </w:tc>
        <w:tc>
          <w:tcPr>
            <w:tcW w:w="2384" w:type="dxa"/>
            <w:vAlign w:val="center"/>
          </w:tcPr>
          <w:p w14:paraId="410F7AE5">
            <w:pPr>
              <w:widowControl/>
              <w:jc w:val="center"/>
              <w:rPr>
                <w:rFonts w:ascii="仿宋" w:hAnsi="仿宋" w:eastAsia="仿宋" w:cs="仿宋"/>
                <w:bCs/>
                <w:color w:val="auto"/>
                <w:sz w:val="24"/>
                <w:highlight w:val="none"/>
              </w:rPr>
            </w:pPr>
          </w:p>
        </w:tc>
      </w:tr>
      <w:tr w14:paraId="034B3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75DB939A">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w:t>
            </w:r>
          </w:p>
        </w:tc>
        <w:tc>
          <w:tcPr>
            <w:tcW w:w="6272" w:type="dxa"/>
            <w:vAlign w:val="center"/>
          </w:tcPr>
          <w:p w14:paraId="0062EC4D">
            <w:pPr>
              <w:widowControl/>
              <w:ind w:firstLine="482"/>
              <w:jc w:val="left"/>
              <w:rPr>
                <w:rFonts w:ascii="仿宋" w:hAnsi="仿宋" w:eastAsia="仿宋" w:cs="仿宋"/>
                <w:b/>
                <w:color w:val="auto"/>
                <w:sz w:val="24"/>
                <w:highlight w:val="none"/>
                <w:lang w:val="zh-CN"/>
              </w:rPr>
            </w:pPr>
          </w:p>
        </w:tc>
        <w:tc>
          <w:tcPr>
            <w:tcW w:w="2384" w:type="dxa"/>
            <w:vAlign w:val="center"/>
          </w:tcPr>
          <w:p w14:paraId="4BF83EA3">
            <w:pPr>
              <w:widowControl/>
              <w:jc w:val="center"/>
              <w:rPr>
                <w:rFonts w:ascii="仿宋" w:hAnsi="仿宋" w:eastAsia="仿宋" w:cs="仿宋"/>
                <w:bCs/>
                <w:color w:val="auto"/>
                <w:sz w:val="24"/>
                <w:highlight w:val="none"/>
              </w:rPr>
            </w:pPr>
          </w:p>
        </w:tc>
      </w:tr>
      <w:tr w14:paraId="40779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704FD717">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6</w:t>
            </w:r>
          </w:p>
        </w:tc>
        <w:tc>
          <w:tcPr>
            <w:tcW w:w="6272" w:type="dxa"/>
            <w:vAlign w:val="center"/>
          </w:tcPr>
          <w:p w14:paraId="33DD4A06">
            <w:pPr>
              <w:ind w:firstLine="482"/>
              <w:rPr>
                <w:rFonts w:ascii="仿宋" w:hAnsi="仿宋" w:eastAsia="仿宋" w:cs="仿宋"/>
                <w:b/>
                <w:color w:val="auto"/>
                <w:sz w:val="24"/>
                <w:highlight w:val="none"/>
                <w:lang w:val="zh-CN"/>
              </w:rPr>
            </w:pPr>
          </w:p>
        </w:tc>
        <w:tc>
          <w:tcPr>
            <w:tcW w:w="2384" w:type="dxa"/>
            <w:vAlign w:val="center"/>
          </w:tcPr>
          <w:p w14:paraId="02B45A9B">
            <w:pPr>
              <w:widowControl/>
              <w:ind w:firstLine="482"/>
              <w:jc w:val="center"/>
              <w:rPr>
                <w:rFonts w:ascii="仿宋" w:hAnsi="仿宋" w:eastAsia="仿宋" w:cs="仿宋"/>
                <w:b/>
                <w:color w:val="auto"/>
                <w:sz w:val="24"/>
                <w:highlight w:val="none"/>
              </w:rPr>
            </w:pPr>
          </w:p>
        </w:tc>
      </w:tr>
      <w:tr w14:paraId="69F8D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0A9901DF">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rPr>
              <w:t>7</w:t>
            </w:r>
          </w:p>
        </w:tc>
        <w:tc>
          <w:tcPr>
            <w:tcW w:w="6272" w:type="dxa"/>
            <w:vAlign w:val="center"/>
          </w:tcPr>
          <w:p w14:paraId="3C3001B3">
            <w:pPr>
              <w:widowControl/>
              <w:jc w:val="left"/>
              <w:rPr>
                <w:rFonts w:ascii="仿宋" w:hAnsi="仿宋" w:eastAsia="仿宋" w:cs="仿宋"/>
                <w:color w:val="auto"/>
                <w:sz w:val="24"/>
                <w:highlight w:val="none"/>
                <w:lang w:val="zh-CN"/>
              </w:rPr>
            </w:pPr>
          </w:p>
        </w:tc>
        <w:tc>
          <w:tcPr>
            <w:tcW w:w="2384" w:type="dxa"/>
            <w:vAlign w:val="center"/>
          </w:tcPr>
          <w:p w14:paraId="4C0957E0">
            <w:pPr>
              <w:widowControl/>
              <w:ind w:firstLine="482"/>
              <w:jc w:val="left"/>
              <w:rPr>
                <w:rFonts w:ascii="仿宋" w:hAnsi="仿宋" w:eastAsia="仿宋" w:cs="仿宋"/>
                <w:b/>
                <w:color w:val="auto"/>
                <w:sz w:val="24"/>
                <w:highlight w:val="none"/>
                <w:lang w:val="zh-CN"/>
              </w:rPr>
            </w:pPr>
          </w:p>
        </w:tc>
      </w:tr>
      <w:tr w14:paraId="385A1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0B9303E9">
            <w:pPr>
              <w:widowControl/>
              <w:jc w:val="center"/>
              <w:rPr>
                <w:rFonts w:ascii="仿宋" w:hAnsi="仿宋" w:eastAsia="仿宋" w:cs="仿宋"/>
                <w:color w:val="auto"/>
                <w:sz w:val="24"/>
                <w:highlight w:val="none"/>
              </w:rPr>
            </w:pPr>
            <w:r>
              <w:rPr>
                <w:rFonts w:hint="eastAsia" w:ascii="仿宋" w:hAnsi="仿宋" w:eastAsia="仿宋" w:cs="仿宋"/>
                <w:color w:val="auto"/>
                <w:sz w:val="24"/>
                <w:highlight w:val="none"/>
              </w:rPr>
              <w:t>8</w:t>
            </w:r>
          </w:p>
        </w:tc>
        <w:tc>
          <w:tcPr>
            <w:tcW w:w="6272" w:type="dxa"/>
            <w:vAlign w:val="center"/>
          </w:tcPr>
          <w:p w14:paraId="4001386F">
            <w:pPr>
              <w:widowControl/>
              <w:jc w:val="left"/>
              <w:rPr>
                <w:rFonts w:ascii="仿宋" w:hAnsi="仿宋" w:eastAsia="仿宋" w:cs="仿宋"/>
                <w:color w:val="auto"/>
                <w:sz w:val="24"/>
                <w:highlight w:val="none"/>
                <w:lang w:val="zh-CN"/>
              </w:rPr>
            </w:pPr>
          </w:p>
        </w:tc>
        <w:tc>
          <w:tcPr>
            <w:tcW w:w="2384" w:type="dxa"/>
            <w:vAlign w:val="center"/>
          </w:tcPr>
          <w:p w14:paraId="430CE6B2">
            <w:pPr>
              <w:widowControl/>
              <w:ind w:firstLine="482"/>
              <w:jc w:val="left"/>
              <w:rPr>
                <w:rFonts w:ascii="仿宋" w:hAnsi="仿宋" w:eastAsia="仿宋" w:cs="仿宋"/>
                <w:b/>
                <w:color w:val="auto"/>
                <w:sz w:val="24"/>
                <w:highlight w:val="none"/>
                <w:lang w:val="zh-CN"/>
              </w:rPr>
            </w:pPr>
          </w:p>
        </w:tc>
      </w:tr>
      <w:tr w14:paraId="09908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355A58E3">
            <w:pPr>
              <w:widowControl/>
              <w:jc w:val="center"/>
              <w:rPr>
                <w:rFonts w:ascii="仿宋" w:hAnsi="仿宋" w:eastAsia="仿宋" w:cs="仿宋"/>
                <w:color w:val="auto"/>
                <w:sz w:val="24"/>
                <w:highlight w:val="none"/>
              </w:rPr>
            </w:pPr>
            <w:r>
              <w:rPr>
                <w:rFonts w:hint="eastAsia" w:ascii="仿宋" w:hAnsi="仿宋" w:eastAsia="仿宋" w:cs="仿宋"/>
                <w:color w:val="auto"/>
                <w:sz w:val="24"/>
                <w:highlight w:val="none"/>
              </w:rPr>
              <w:t>9</w:t>
            </w:r>
          </w:p>
        </w:tc>
        <w:tc>
          <w:tcPr>
            <w:tcW w:w="6272" w:type="dxa"/>
            <w:vAlign w:val="center"/>
          </w:tcPr>
          <w:p w14:paraId="530ED812">
            <w:pPr>
              <w:widowControl/>
              <w:jc w:val="left"/>
              <w:rPr>
                <w:rFonts w:ascii="仿宋" w:hAnsi="仿宋" w:eastAsia="仿宋" w:cs="仿宋"/>
                <w:color w:val="auto"/>
                <w:sz w:val="24"/>
                <w:highlight w:val="none"/>
                <w:lang w:val="zh-CN"/>
              </w:rPr>
            </w:pPr>
          </w:p>
        </w:tc>
        <w:tc>
          <w:tcPr>
            <w:tcW w:w="2384" w:type="dxa"/>
            <w:vAlign w:val="center"/>
          </w:tcPr>
          <w:p w14:paraId="744E4876">
            <w:pPr>
              <w:widowControl/>
              <w:ind w:firstLine="482"/>
              <w:jc w:val="left"/>
              <w:rPr>
                <w:rFonts w:ascii="仿宋" w:hAnsi="仿宋" w:eastAsia="仿宋" w:cs="仿宋"/>
                <w:b/>
                <w:color w:val="auto"/>
                <w:sz w:val="24"/>
                <w:highlight w:val="none"/>
                <w:lang w:val="zh-CN"/>
              </w:rPr>
            </w:pPr>
          </w:p>
        </w:tc>
      </w:tr>
      <w:tr w14:paraId="0735B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6EDDD51C">
            <w:pPr>
              <w:widowControl/>
              <w:jc w:val="center"/>
              <w:rPr>
                <w:rFonts w:ascii="仿宋" w:hAnsi="仿宋" w:eastAsia="仿宋" w:cs="仿宋"/>
                <w:color w:val="auto"/>
                <w:sz w:val="24"/>
                <w:highlight w:val="none"/>
              </w:rPr>
            </w:pPr>
            <w:r>
              <w:rPr>
                <w:rFonts w:hint="eastAsia" w:ascii="仿宋" w:hAnsi="仿宋" w:eastAsia="仿宋" w:cs="仿宋"/>
                <w:color w:val="auto"/>
                <w:sz w:val="24"/>
                <w:highlight w:val="none"/>
              </w:rPr>
              <w:t>10</w:t>
            </w:r>
          </w:p>
        </w:tc>
        <w:tc>
          <w:tcPr>
            <w:tcW w:w="6272" w:type="dxa"/>
            <w:vAlign w:val="center"/>
          </w:tcPr>
          <w:p w14:paraId="5495022F">
            <w:pPr>
              <w:widowControl/>
              <w:jc w:val="left"/>
              <w:rPr>
                <w:rFonts w:ascii="仿宋" w:hAnsi="仿宋" w:eastAsia="仿宋" w:cs="仿宋"/>
                <w:color w:val="auto"/>
                <w:sz w:val="24"/>
                <w:highlight w:val="none"/>
                <w:lang w:val="zh-CN"/>
              </w:rPr>
            </w:pPr>
          </w:p>
        </w:tc>
        <w:tc>
          <w:tcPr>
            <w:tcW w:w="2384" w:type="dxa"/>
            <w:vAlign w:val="center"/>
          </w:tcPr>
          <w:p w14:paraId="5E49EE66">
            <w:pPr>
              <w:widowControl/>
              <w:ind w:firstLine="482"/>
              <w:jc w:val="left"/>
              <w:rPr>
                <w:rFonts w:ascii="仿宋" w:hAnsi="仿宋" w:eastAsia="仿宋" w:cs="仿宋"/>
                <w:b/>
                <w:color w:val="auto"/>
                <w:sz w:val="24"/>
                <w:highlight w:val="none"/>
                <w:lang w:val="zh-CN"/>
              </w:rPr>
            </w:pPr>
          </w:p>
        </w:tc>
      </w:tr>
    </w:tbl>
    <w:p w14:paraId="1D1451B5">
      <w:pPr>
        <w:widowControl/>
        <w:ind w:firstLine="482"/>
        <w:jc w:val="left"/>
        <w:rPr>
          <w:rFonts w:ascii="仿宋" w:hAnsi="仿宋" w:eastAsia="仿宋" w:cs="仿宋"/>
          <w:b/>
          <w:bCs/>
          <w:color w:val="auto"/>
          <w:sz w:val="24"/>
          <w:highlight w:val="none"/>
          <w:lang w:val="zh-CN"/>
        </w:rPr>
      </w:pPr>
    </w:p>
    <w:p w14:paraId="7D710FE0">
      <w:pPr>
        <w:rPr>
          <w:rFonts w:ascii="仿宋" w:hAnsi="仿宋" w:eastAsia="仿宋" w:cs="仿宋"/>
          <w:b/>
          <w:color w:val="auto"/>
          <w:sz w:val="28"/>
          <w:szCs w:val="28"/>
          <w:highlight w:val="none"/>
          <w:lang w:val="zh-CN"/>
        </w:rPr>
      </w:pPr>
      <w:r>
        <w:rPr>
          <w:rFonts w:hint="eastAsia" w:ascii="仿宋" w:hAnsi="仿宋" w:eastAsia="仿宋" w:cs="仿宋"/>
          <w:color w:val="auto"/>
          <w:sz w:val="24"/>
          <w:highlight w:val="none"/>
          <w:lang w:val="zh-CN"/>
        </w:rPr>
        <w:t>注：此表请根据“</w:t>
      </w:r>
      <w:r>
        <w:rPr>
          <w:rFonts w:hint="eastAsia" w:ascii="仿宋" w:hAnsi="仿宋" w:eastAsia="仿宋" w:cs="仿宋"/>
          <w:color w:val="auto"/>
          <w:sz w:val="24"/>
          <w:highlight w:val="none"/>
        </w:rPr>
        <w:t>第一章 二、申请人的资格要求</w:t>
      </w:r>
      <w:r>
        <w:rPr>
          <w:rFonts w:hint="eastAsia" w:ascii="仿宋" w:hAnsi="仿宋" w:eastAsia="仿宋" w:cs="仿宋"/>
          <w:color w:val="auto"/>
          <w:sz w:val="24"/>
          <w:highlight w:val="none"/>
          <w:lang w:val="zh-CN"/>
        </w:rPr>
        <w:t>”制定</w:t>
      </w:r>
    </w:p>
    <w:p w14:paraId="26E61340">
      <w:pPr>
        <w:widowControl/>
        <w:jc w:val="left"/>
        <w:rPr>
          <w:rFonts w:ascii="仿宋" w:hAnsi="仿宋" w:eastAsia="仿宋" w:cs="仿宋"/>
          <w:b/>
          <w:color w:val="auto"/>
          <w:sz w:val="28"/>
          <w:szCs w:val="28"/>
          <w:highlight w:val="none"/>
          <w:lang w:val="zh-CN"/>
        </w:rPr>
      </w:pPr>
      <w:r>
        <w:rPr>
          <w:rFonts w:ascii="仿宋" w:hAnsi="仿宋" w:eastAsia="仿宋" w:cs="仿宋"/>
          <w:b/>
          <w:color w:val="auto"/>
          <w:sz w:val="28"/>
          <w:szCs w:val="28"/>
          <w:highlight w:val="none"/>
          <w:lang w:val="zh-CN"/>
        </w:rPr>
        <w:br w:type="page"/>
      </w:r>
    </w:p>
    <w:p w14:paraId="0BD1128A">
      <w:pPr>
        <w:autoSpaceDE w:val="0"/>
        <w:autoSpaceDN w:val="0"/>
        <w:adjustRightInd w:val="0"/>
        <w:spacing w:line="360" w:lineRule="auto"/>
        <w:ind w:firstLine="562" w:firstLineChars="200"/>
        <w:outlineLvl w:val="1"/>
        <w:rPr>
          <w:rFonts w:ascii="仿宋" w:hAnsi="仿宋" w:eastAsia="仿宋" w:cs="仿宋"/>
          <w:b/>
          <w:color w:val="auto"/>
          <w:sz w:val="28"/>
          <w:szCs w:val="28"/>
          <w:highlight w:val="none"/>
          <w:lang w:val="zh-CN"/>
        </w:rPr>
      </w:pPr>
      <w:r>
        <w:rPr>
          <w:rFonts w:hint="eastAsia" w:ascii="仿宋" w:hAnsi="仿宋" w:eastAsia="仿宋" w:cs="仿宋"/>
          <w:b/>
          <w:color w:val="auto"/>
          <w:sz w:val="28"/>
          <w:szCs w:val="28"/>
          <w:highlight w:val="none"/>
          <w:lang w:val="zh-CN"/>
        </w:rPr>
        <w:t>一、谈判申请及声明格式</w:t>
      </w:r>
    </w:p>
    <w:p w14:paraId="3ACBA502">
      <w:pPr>
        <w:autoSpaceDE w:val="0"/>
        <w:autoSpaceDN w:val="0"/>
        <w:adjustRightInd w:val="0"/>
        <w:spacing w:line="360" w:lineRule="auto"/>
        <w:jc w:val="center"/>
        <w:rPr>
          <w:rFonts w:ascii="仿宋" w:hAnsi="仿宋" w:eastAsia="仿宋" w:cs="仿宋"/>
          <w:b/>
          <w:bCs/>
          <w:color w:val="auto"/>
          <w:sz w:val="28"/>
          <w:szCs w:val="28"/>
          <w:highlight w:val="none"/>
          <w:lang w:val="zh-CN"/>
        </w:rPr>
      </w:pPr>
      <w:bookmarkStart w:id="102" w:name="_Toc503948586"/>
      <w:bookmarkStart w:id="103" w:name="_Toc518485136"/>
      <w:bookmarkStart w:id="104" w:name="_Toc503948079"/>
      <w:r>
        <w:rPr>
          <w:rFonts w:hint="eastAsia" w:ascii="仿宋" w:hAnsi="仿宋" w:eastAsia="仿宋" w:cs="仿宋"/>
          <w:b/>
          <w:bCs/>
          <w:color w:val="auto"/>
          <w:sz w:val="28"/>
          <w:szCs w:val="28"/>
          <w:highlight w:val="none"/>
          <w:lang w:val="zh-CN"/>
        </w:rPr>
        <w:t>谈判申请及声明</w:t>
      </w:r>
      <w:bookmarkEnd w:id="102"/>
      <w:bookmarkEnd w:id="103"/>
      <w:bookmarkEnd w:id="104"/>
    </w:p>
    <w:p w14:paraId="7D7ED188">
      <w:pPr>
        <w:autoSpaceDE w:val="0"/>
        <w:autoSpaceDN w:val="0"/>
        <w:adjustRightInd w:val="0"/>
        <w:spacing w:line="288" w:lineRule="auto"/>
        <w:rPr>
          <w:rFonts w:ascii="仿宋" w:hAnsi="仿宋" w:eastAsia="仿宋" w:cs="仿宋"/>
          <w:color w:val="auto"/>
          <w:sz w:val="24"/>
          <w:szCs w:val="21"/>
          <w:highlight w:val="none"/>
          <w:lang w:val="zh-CN"/>
        </w:rPr>
      </w:pPr>
      <w:bookmarkStart w:id="105" w:name="_Toc518485137"/>
      <w:bookmarkStart w:id="106" w:name="_Toc503948080"/>
      <w:bookmarkStart w:id="107" w:name="_Toc503948587"/>
      <w:r>
        <w:rPr>
          <w:rFonts w:hint="eastAsia" w:ascii="仿宋" w:hAnsi="仿宋" w:eastAsia="仿宋" w:cs="仿宋"/>
          <w:color w:val="auto"/>
          <w:sz w:val="24"/>
          <w:szCs w:val="21"/>
          <w:highlight w:val="none"/>
          <w:lang w:val="zh-CN"/>
        </w:rPr>
        <w:t>致：</w:t>
      </w:r>
      <w:bookmarkEnd w:id="105"/>
      <w:bookmarkEnd w:id="106"/>
      <w:bookmarkEnd w:id="107"/>
      <w:r>
        <w:rPr>
          <w:rFonts w:hint="eastAsia" w:ascii="仿宋" w:hAnsi="仿宋" w:eastAsia="仿宋" w:cs="仿宋"/>
          <w:color w:val="auto"/>
          <w:sz w:val="24"/>
          <w:szCs w:val="21"/>
          <w:highlight w:val="none"/>
          <w:lang w:val="zh-CN"/>
        </w:rPr>
        <w:t>中石化石油物探技术研究院有限公司</w:t>
      </w:r>
    </w:p>
    <w:p w14:paraId="7BD7BCE9">
      <w:pPr>
        <w:spacing w:line="288" w:lineRule="auto"/>
        <w:ind w:firstLine="480" w:firstLineChars="20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根据贵方</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u w:val="single"/>
          <w:lang w:val="zh-CN"/>
        </w:rPr>
        <w:t>（项目名称）</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u w:val="single"/>
          <w:lang w:val="zh-CN"/>
        </w:rPr>
        <w:t>（项目编号）</w:t>
      </w:r>
      <w:r>
        <w:rPr>
          <w:rFonts w:hint="eastAsia" w:ascii="仿宋" w:hAnsi="仿宋" w:eastAsia="仿宋" w:cs="仿宋"/>
          <w:color w:val="auto"/>
          <w:sz w:val="24"/>
          <w:szCs w:val="21"/>
          <w:highlight w:val="none"/>
          <w:lang w:val="zh-CN"/>
        </w:rPr>
        <w:t>谈判邀请，正式授权下述签字人(姓名和职务)代表谈判供应商（谈判供应商名称），提交谈判文件。</w:t>
      </w:r>
    </w:p>
    <w:p w14:paraId="439BBB1A">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据此函，签字人兹宣布声明和承诺如下：</w:t>
      </w:r>
    </w:p>
    <w:p w14:paraId="7B3E6776">
      <w:pPr>
        <w:autoSpaceDE w:val="0"/>
        <w:autoSpaceDN w:val="0"/>
        <w:adjustRightInd w:val="0"/>
        <w:spacing w:line="288" w:lineRule="auto"/>
        <w:ind w:firstLine="480"/>
        <w:rPr>
          <w:rFonts w:ascii="仿宋" w:hAnsi="仿宋" w:eastAsia="仿宋" w:cs="仿宋"/>
          <w:color w:val="auto"/>
          <w:sz w:val="24"/>
          <w:highlight w:val="none"/>
        </w:rPr>
      </w:pPr>
      <w:r>
        <w:rPr>
          <w:rFonts w:hint="eastAsia" w:ascii="仿宋" w:hAnsi="仿宋" w:eastAsia="仿宋" w:cs="仿宋"/>
          <w:color w:val="auto"/>
          <w:sz w:val="24"/>
          <w:szCs w:val="21"/>
          <w:highlight w:val="none"/>
          <w:lang w:val="zh-CN"/>
        </w:rPr>
        <w:t>1.我们的资格条件完全符合本次</w:t>
      </w:r>
      <w:r>
        <w:rPr>
          <w:rFonts w:hint="eastAsia" w:ascii="仿宋" w:hAnsi="仿宋" w:eastAsia="仿宋" w:cs="仿宋"/>
          <w:color w:val="auto"/>
          <w:sz w:val="24"/>
          <w:szCs w:val="21"/>
          <w:highlight w:val="none"/>
        </w:rPr>
        <w:t>采购</w:t>
      </w:r>
      <w:r>
        <w:rPr>
          <w:rFonts w:hint="eastAsia" w:ascii="仿宋" w:hAnsi="仿宋" w:eastAsia="仿宋" w:cs="仿宋"/>
          <w:color w:val="auto"/>
          <w:sz w:val="24"/>
          <w:szCs w:val="21"/>
          <w:highlight w:val="none"/>
          <w:lang w:val="zh-CN"/>
        </w:rPr>
        <w:t>要求，</w:t>
      </w:r>
      <w:r>
        <w:rPr>
          <w:rFonts w:hint="eastAsia" w:ascii="仿宋" w:hAnsi="仿宋" w:eastAsia="仿宋" w:cs="仿宋"/>
          <w:color w:val="auto"/>
          <w:sz w:val="24"/>
          <w:highlight w:val="none"/>
        </w:rPr>
        <w:t>我们</w:t>
      </w:r>
      <w:r>
        <w:rPr>
          <w:rFonts w:hint="eastAsia" w:ascii="仿宋" w:hAnsi="仿宋" w:eastAsia="仿宋" w:cs="仿宋"/>
          <w:color w:val="auto"/>
          <w:sz w:val="24"/>
          <w:szCs w:val="21"/>
          <w:highlight w:val="none"/>
          <w:lang w:val="zh-CN"/>
        </w:rPr>
        <w:t>同意并向贵方提供了与谈判有关的所有证据和资料。</w:t>
      </w:r>
    </w:p>
    <w:p w14:paraId="235AF32D">
      <w:pPr>
        <w:autoSpaceDE w:val="0"/>
        <w:autoSpaceDN w:val="0"/>
        <w:adjustRightInd w:val="0"/>
        <w:spacing w:line="288"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2.按采购要求，我们的谈判</w:t>
      </w:r>
      <w:r>
        <w:rPr>
          <w:rFonts w:hint="eastAsia" w:ascii="仿宋" w:hAnsi="仿宋" w:eastAsia="仿宋" w:cs="仿宋"/>
          <w:color w:val="auto"/>
          <w:sz w:val="24"/>
          <w:highlight w:val="none"/>
          <w:u w:val="single"/>
        </w:rPr>
        <w:t xml:space="preserve">                （项目名称）</w:t>
      </w:r>
      <w:r>
        <w:rPr>
          <w:rFonts w:hint="eastAsia" w:ascii="仿宋" w:hAnsi="仿宋" w:eastAsia="仿宋" w:cs="仿宋"/>
          <w:color w:val="auto"/>
          <w:sz w:val="24"/>
          <w:highlight w:val="none"/>
        </w:rPr>
        <w:t>报价：</w:t>
      </w:r>
    </w:p>
    <w:p w14:paraId="197FE7CC">
      <w:pPr>
        <w:autoSpaceDE w:val="0"/>
        <w:autoSpaceDN w:val="0"/>
        <w:adjustRightInd w:val="0"/>
        <w:spacing w:line="288"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总价（人民币）大写：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日历天。</w:t>
      </w:r>
    </w:p>
    <w:p w14:paraId="397C4633">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3.我们已详细审核全部谈判文件及其有效补充文件，我们放弃对谈判文件任何误解的权利，提交谈判文件后，不对谈判文件本身提出质疑。</w:t>
      </w:r>
    </w:p>
    <w:p w14:paraId="60E86B14">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4.我们同意从规定的谈判日期起遵循本谈判文件，并在规定的谈判有效期期满之前均具有约束力。</w:t>
      </w:r>
    </w:p>
    <w:p w14:paraId="181CF72C">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5.</w:t>
      </w:r>
      <w:r>
        <w:rPr>
          <w:rFonts w:hint="eastAsia" w:ascii="仿宋" w:hAnsi="仿宋" w:eastAsia="仿宋" w:cs="仿宋"/>
          <w:color w:val="auto"/>
          <w:sz w:val="24"/>
          <w:highlight w:val="none"/>
        </w:rPr>
        <w:t>谈判截止时间结束后参加谈判的供应商不足三家的，或在评标期间出现符合专业条件的供应商或者对谈判文件作出实质响应的供应商不足三家情形的，我们酌情决定是否参加当场变更的竞争性谈判或单一来源方式采购。</w:t>
      </w:r>
    </w:p>
    <w:p w14:paraId="03597F38">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6.一旦我方中标，我方将根据谈判文件的规定严格履行合同，并保证于承诺的时间完成服务，交付需求方验收、使用。</w:t>
      </w:r>
    </w:p>
    <w:p w14:paraId="7E012FDA">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7.、我方决不提供虚假材料谋取中标、决不采取不正当手段诋毁、排挤其他供应商、决不与需求方、其它供应商或者代理机构恶意串通、决不向需求方、政府代理机构工作人员和评委进行商业贿赂、决不在采购过程中与需求方进行协商谈判、决不拒绝有关部门监督检查或提供虚假情况，如有违反，无条件接受贵方及相关管理部门的处罚。</w:t>
      </w:r>
    </w:p>
    <w:p w14:paraId="313BBBCC">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8.本项目拟派项目负责人</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lang w:val="zh-CN"/>
        </w:rPr>
        <w:t>联系方式：</w:t>
      </w:r>
      <w:r>
        <w:rPr>
          <w:rFonts w:hint="eastAsia" w:ascii="仿宋" w:hAnsi="仿宋" w:eastAsia="仿宋" w:cs="仿宋"/>
          <w:color w:val="auto"/>
          <w:sz w:val="24"/>
          <w:szCs w:val="21"/>
          <w:highlight w:val="none"/>
          <w:u w:val="single"/>
          <w:lang w:val="zh-CN"/>
        </w:rPr>
        <w:t xml:space="preserve">                     </w:t>
      </w:r>
    </w:p>
    <w:p w14:paraId="6D18401D">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9.与本谈判有关的正式联系方式为：</w:t>
      </w:r>
    </w:p>
    <w:p w14:paraId="05B3E3B0">
      <w:pPr>
        <w:autoSpaceDE w:val="0"/>
        <w:autoSpaceDN w:val="0"/>
        <w:adjustRightInd w:val="0"/>
        <w:spacing w:line="288" w:lineRule="auto"/>
        <w:ind w:firstLine="480"/>
        <w:rPr>
          <w:rFonts w:ascii="仿宋" w:hAnsi="仿宋" w:eastAsia="仿宋" w:cs="仿宋"/>
          <w:color w:val="auto"/>
          <w:sz w:val="24"/>
          <w:szCs w:val="21"/>
          <w:highlight w:val="none"/>
          <w:u w:val="single"/>
          <w:lang w:val="zh-CN"/>
        </w:rPr>
      </w:pPr>
      <w:r>
        <w:rPr>
          <w:rFonts w:hint="eastAsia" w:ascii="仿宋" w:hAnsi="仿宋" w:eastAsia="仿宋" w:cs="仿宋"/>
          <w:color w:val="auto"/>
          <w:sz w:val="24"/>
          <w:szCs w:val="21"/>
          <w:highlight w:val="none"/>
          <w:lang w:val="zh-CN"/>
        </w:rPr>
        <w:t>地址：                                          电话：</w:t>
      </w:r>
    </w:p>
    <w:p w14:paraId="29024430">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传真：                                          开户银行：</w:t>
      </w:r>
    </w:p>
    <w:p w14:paraId="69872B59">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银行账号：</w:t>
      </w:r>
    </w:p>
    <w:p w14:paraId="20A958C9">
      <w:pPr>
        <w:autoSpaceDE w:val="0"/>
        <w:autoSpaceDN w:val="0"/>
        <w:adjustRightInd w:val="0"/>
        <w:spacing w:line="288" w:lineRule="auto"/>
        <w:ind w:firstLine="480"/>
        <w:rPr>
          <w:rFonts w:ascii="仿宋" w:hAnsi="仿宋" w:eastAsia="仿宋" w:cs="仿宋"/>
          <w:color w:val="auto"/>
          <w:sz w:val="24"/>
          <w:szCs w:val="21"/>
          <w:highlight w:val="none"/>
          <w:u w:val="single"/>
          <w:lang w:val="zh-CN"/>
        </w:rPr>
      </w:pPr>
      <w:r>
        <w:rPr>
          <w:rFonts w:hint="eastAsia" w:ascii="仿宋" w:hAnsi="仿宋" w:eastAsia="仿宋" w:cs="仿宋"/>
          <w:color w:val="auto"/>
          <w:sz w:val="24"/>
          <w:szCs w:val="21"/>
          <w:highlight w:val="none"/>
          <w:lang w:val="zh-CN"/>
        </w:rPr>
        <w:t>谈判供应商授权代表（签字）：</w:t>
      </w:r>
    </w:p>
    <w:p w14:paraId="2107BC59">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谈判供应商名称（盖章）：</w:t>
      </w:r>
    </w:p>
    <w:p w14:paraId="2D5347AF">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日期：</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lang w:val="zh-CN"/>
        </w:rPr>
        <w:t>年</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lang w:val="zh-CN"/>
        </w:rPr>
        <w:t>月</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lang w:val="zh-CN"/>
        </w:rPr>
        <w:t>日</w:t>
      </w:r>
    </w:p>
    <w:p w14:paraId="55CAC536">
      <w:pPr>
        <w:rPr>
          <w:rFonts w:ascii="仿宋" w:hAnsi="仿宋" w:eastAsia="仿宋" w:cs="仿宋"/>
          <w:b/>
          <w:color w:val="auto"/>
          <w:sz w:val="24"/>
          <w:szCs w:val="21"/>
          <w:highlight w:val="none"/>
        </w:rPr>
      </w:pPr>
      <w:r>
        <w:rPr>
          <w:rFonts w:ascii="仿宋" w:hAnsi="仿宋" w:eastAsia="仿宋" w:cs="仿宋"/>
          <w:b/>
          <w:color w:val="auto"/>
          <w:sz w:val="24"/>
          <w:szCs w:val="21"/>
          <w:highlight w:val="none"/>
        </w:rPr>
        <w:br w:type="page"/>
      </w:r>
    </w:p>
    <w:p w14:paraId="073B2794">
      <w:pPr>
        <w:autoSpaceDE w:val="0"/>
        <w:autoSpaceDN w:val="0"/>
        <w:adjustRightInd w:val="0"/>
        <w:spacing w:line="300" w:lineRule="auto"/>
        <w:ind w:firstLine="562"/>
        <w:outlineLvl w:val="1"/>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二、法定代表人授权委托书格式</w:t>
      </w:r>
    </w:p>
    <w:p w14:paraId="676B7842">
      <w:pPr>
        <w:widowControl/>
        <w:adjustRightInd w:val="0"/>
        <w:spacing w:line="360" w:lineRule="auto"/>
        <w:jc w:val="center"/>
        <w:rPr>
          <w:rFonts w:ascii="仿宋" w:hAnsi="仿宋" w:eastAsia="仿宋" w:cs="仿宋"/>
          <w:b/>
          <w:color w:val="auto"/>
          <w:kern w:val="0"/>
          <w:sz w:val="24"/>
          <w:szCs w:val="21"/>
          <w:highlight w:val="none"/>
          <w:lang w:val="zh-CN"/>
        </w:rPr>
      </w:pPr>
      <w:bookmarkStart w:id="108" w:name="_Toc503948588"/>
      <w:bookmarkStart w:id="109" w:name="_Toc503948081"/>
      <w:bookmarkStart w:id="110" w:name="_Toc518485138"/>
      <w:r>
        <w:rPr>
          <w:rFonts w:hint="eastAsia" w:ascii="仿宋" w:hAnsi="仿宋" w:eastAsia="仿宋" w:cs="仿宋"/>
          <w:b/>
          <w:color w:val="auto"/>
          <w:kern w:val="0"/>
          <w:sz w:val="28"/>
          <w:szCs w:val="28"/>
          <w:highlight w:val="none"/>
          <w:lang w:val="zh-CN"/>
        </w:rPr>
        <w:t>法定代表人授权委托书</w:t>
      </w:r>
      <w:bookmarkEnd w:id="108"/>
      <w:bookmarkEnd w:id="109"/>
      <w:bookmarkEnd w:id="110"/>
    </w:p>
    <w:p w14:paraId="0F17237C">
      <w:pPr>
        <w:widowControl/>
        <w:adjustRightInd w:val="0"/>
        <w:spacing w:line="360" w:lineRule="auto"/>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致：中石化石油物探技术研究院有限公司</w:t>
      </w:r>
    </w:p>
    <w:p w14:paraId="441A2043">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本授权书声明：注册于</w:t>
      </w:r>
      <w:r>
        <w:rPr>
          <w:rFonts w:hint="eastAsia" w:ascii="仿宋" w:hAnsi="仿宋" w:eastAsia="仿宋" w:cs="仿宋"/>
          <w:color w:val="auto"/>
          <w:kern w:val="0"/>
          <w:sz w:val="24"/>
          <w:highlight w:val="none"/>
          <w:u w:val="single"/>
          <w:lang w:val="zh-CN"/>
        </w:rPr>
        <w:t xml:space="preserve">          （谈判供应商住址）</w:t>
      </w:r>
      <w:r>
        <w:rPr>
          <w:rFonts w:hint="eastAsia" w:ascii="仿宋" w:hAnsi="仿宋" w:eastAsia="仿宋" w:cs="仿宋"/>
          <w:color w:val="auto"/>
          <w:kern w:val="0"/>
          <w:sz w:val="24"/>
          <w:highlight w:val="none"/>
          <w:lang w:val="zh-CN"/>
        </w:rPr>
        <w:t>的</w:t>
      </w:r>
      <w:r>
        <w:rPr>
          <w:rFonts w:hint="eastAsia" w:ascii="仿宋" w:hAnsi="仿宋" w:eastAsia="仿宋" w:cs="仿宋"/>
          <w:color w:val="auto"/>
          <w:kern w:val="0"/>
          <w:sz w:val="24"/>
          <w:highlight w:val="none"/>
          <w:u w:val="single"/>
          <w:lang w:val="zh-CN"/>
        </w:rPr>
        <w:t xml:space="preserve">           （谈判供应商名称）</w:t>
      </w:r>
      <w:r>
        <w:rPr>
          <w:rFonts w:hint="eastAsia" w:ascii="仿宋" w:hAnsi="仿宋" w:eastAsia="仿宋" w:cs="仿宋"/>
          <w:color w:val="auto"/>
          <w:kern w:val="0"/>
          <w:sz w:val="24"/>
          <w:highlight w:val="none"/>
          <w:lang w:val="zh-CN"/>
        </w:rPr>
        <w:t xml:space="preserve">法定代表人 </w:t>
      </w:r>
      <w:r>
        <w:rPr>
          <w:rFonts w:hint="eastAsia" w:ascii="仿宋" w:hAnsi="仿宋" w:eastAsia="仿宋" w:cs="仿宋"/>
          <w:color w:val="auto"/>
          <w:kern w:val="0"/>
          <w:sz w:val="24"/>
          <w:highlight w:val="none"/>
          <w:u w:val="single"/>
          <w:lang w:val="zh-CN"/>
        </w:rPr>
        <w:t xml:space="preserve">       （法定代表人姓名、职务）</w:t>
      </w:r>
      <w:r>
        <w:rPr>
          <w:rFonts w:hint="eastAsia" w:ascii="仿宋" w:hAnsi="仿宋" w:eastAsia="仿宋" w:cs="仿宋"/>
          <w:color w:val="auto"/>
          <w:kern w:val="0"/>
          <w:sz w:val="24"/>
          <w:highlight w:val="none"/>
          <w:lang w:val="zh-CN"/>
        </w:rPr>
        <w:t>代表本公司授权在下面签字的</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zh-CN"/>
        </w:rPr>
        <w:t>（谈判供应商代表姓名、职务）</w:t>
      </w:r>
      <w:r>
        <w:rPr>
          <w:rFonts w:hint="eastAsia" w:ascii="仿宋" w:hAnsi="仿宋" w:eastAsia="仿宋" w:cs="仿宋"/>
          <w:color w:val="auto"/>
          <w:kern w:val="0"/>
          <w:sz w:val="24"/>
          <w:highlight w:val="none"/>
          <w:lang w:val="zh-CN"/>
        </w:rPr>
        <w:t>为本公司的合法代理人，就贵方组织的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zh-CN"/>
        </w:rPr>
        <w:t>（项目名称）(项目编号: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lang w:val="zh-CN"/>
        </w:rPr>
        <w:t>谈判，以本公司名义处理一切与之有关的事务。</w:t>
      </w:r>
    </w:p>
    <w:p w14:paraId="3CC0C0CC">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本授权书于</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年</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日签字生效，特此声明。</w:t>
      </w:r>
    </w:p>
    <w:p w14:paraId="110A76E1">
      <w:pPr>
        <w:widowControl/>
        <w:adjustRightInd w:val="0"/>
        <w:spacing w:line="360" w:lineRule="auto"/>
        <w:ind w:firstLine="480"/>
        <w:jc w:val="left"/>
        <w:rPr>
          <w:rFonts w:ascii="仿宋" w:hAnsi="仿宋" w:eastAsia="仿宋" w:cs="仿宋"/>
          <w:color w:val="auto"/>
          <w:kern w:val="0"/>
          <w:sz w:val="24"/>
          <w:highlight w:val="none"/>
          <w:lang w:val="zh-CN"/>
        </w:rPr>
      </w:pPr>
    </w:p>
    <w:p w14:paraId="5EAF905C">
      <w:pPr>
        <w:widowControl/>
        <w:adjustRightInd w:val="0"/>
        <w:spacing w:line="360" w:lineRule="auto"/>
        <w:ind w:firstLine="480"/>
        <w:jc w:val="left"/>
        <w:rPr>
          <w:rFonts w:ascii="仿宋" w:hAnsi="仿宋" w:eastAsia="仿宋" w:cs="仿宋"/>
          <w:color w:val="auto"/>
          <w:kern w:val="0"/>
          <w:sz w:val="24"/>
          <w:highlight w:val="none"/>
          <w:lang w:val="zh-CN"/>
        </w:rPr>
      </w:pPr>
    </w:p>
    <w:p w14:paraId="6454F20A">
      <w:pPr>
        <w:widowControl/>
        <w:adjustRightInd w:val="0"/>
        <w:spacing w:line="360" w:lineRule="auto"/>
        <w:ind w:firstLine="480"/>
        <w:jc w:val="left"/>
        <w:rPr>
          <w:rFonts w:ascii="仿宋" w:hAnsi="仿宋" w:eastAsia="仿宋" w:cs="仿宋"/>
          <w:color w:val="auto"/>
          <w:kern w:val="0"/>
          <w:sz w:val="24"/>
          <w:highlight w:val="none"/>
          <w:lang w:val="zh-CN"/>
        </w:rPr>
      </w:pPr>
    </w:p>
    <w:p w14:paraId="1D9F7563">
      <w:pPr>
        <w:autoSpaceDE w:val="0"/>
        <w:autoSpaceDN w:val="0"/>
        <w:adjustRightInd w:val="0"/>
        <w:spacing w:line="300" w:lineRule="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谈判供应商名称（盖章）</w:t>
      </w:r>
      <w:r>
        <w:rPr>
          <w:rFonts w:hint="eastAsia" w:ascii="仿宋" w:hAnsi="仿宋" w:eastAsia="仿宋" w:cs="仿宋"/>
          <w:color w:val="auto"/>
          <w:kern w:val="0"/>
          <w:sz w:val="24"/>
          <w:highlight w:val="none"/>
          <w:lang w:val="zh-CN"/>
        </w:rPr>
        <w:t>:</w:t>
      </w:r>
    </w:p>
    <w:p w14:paraId="206030B1">
      <w:pPr>
        <w:widowControl/>
        <w:adjustRightInd w:val="0"/>
        <w:spacing w:line="360" w:lineRule="auto"/>
        <w:ind w:firstLine="480"/>
        <w:jc w:val="left"/>
        <w:rPr>
          <w:rFonts w:ascii="仿宋" w:hAnsi="仿宋" w:eastAsia="仿宋" w:cs="仿宋"/>
          <w:color w:val="auto"/>
          <w:kern w:val="0"/>
          <w:sz w:val="24"/>
          <w:highlight w:val="none"/>
          <w:lang w:val="zh-CN"/>
        </w:rPr>
      </w:pPr>
    </w:p>
    <w:p w14:paraId="254639B4">
      <w:pPr>
        <w:widowControl/>
        <w:adjustRightInd w:val="0"/>
        <w:spacing w:line="60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法定代表人（签字</w:t>
      </w:r>
      <w:r>
        <w:rPr>
          <w:rFonts w:hint="eastAsia" w:ascii="仿宋" w:hAnsi="仿宋" w:eastAsia="仿宋" w:cs="仿宋"/>
          <w:color w:val="auto"/>
          <w:kern w:val="0"/>
          <w:sz w:val="24"/>
          <w:highlight w:val="none"/>
        </w:rPr>
        <w:t>或</w:t>
      </w:r>
      <w:r>
        <w:rPr>
          <w:rFonts w:hint="eastAsia" w:ascii="仿宋" w:hAnsi="仿宋" w:eastAsia="仿宋" w:cs="仿宋"/>
          <w:color w:val="auto"/>
          <w:kern w:val="0"/>
          <w:sz w:val="24"/>
          <w:highlight w:val="none"/>
          <w:lang w:val="zh-CN"/>
        </w:rPr>
        <w:t>盖章）：</w:t>
      </w:r>
    </w:p>
    <w:p w14:paraId="2A7B5F00">
      <w:pPr>
        <w:widowControl/>
        <w:adjustRightInd w:val="0"/>
        <w:spacing w:line="60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授权</w:t>
      </w:r>
      <w:r>
        <w:rPr>
          <w:rFonts w:hint="eastAsia" w:ascii="仿宋" w:hAnsi="仿宋" w:eastAsia="仿宋" w:cs="仿宋"/>
          <w:color w:val="auto"/>
          <w:kern w:val="0"/>
          <w:sz w:val="24"/>
          <w:highlight w:val="none"/>
        </w:rPr>
        <w:t>代表（签字）</w:t>
      </w:r>
      <w:r>
        <w:rPr>
          <w:rFonts w:hint="eastAsia" w:ascii="仿宋" w:hAnsi="仿宋" w:eastAsia="仿宋" w:cs="仿宋"/>
          <w:color w:val="auto"/>
          <w:kern w:val="0"/>
          <w:sz w:val="24"/>
          <w:highlight w:val="none"/>
          <w:lang w:val="zh-CN"/>
        </w:rPr>
        <w:t xml:space="preserve">： </w:t>
      </w:r>
    </w:p>
    <w:p w14:paraId="7D201A4D">
      <w:pPr>
        <w:widowControl/>
        <w:adjustRightInd w:val="0"/>
        <w:spacing w:line="600" w:lineRule="auto"/>
        <w:jc w:val="left"/>
        <w:rPr>
          <w:rFonts w:ascii="宋体" w:cs="宋体"/>
          <w:b/>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5F35EF11">
      <w:pPr>
        <w:widowControl/>
        <w:ind w:firstLine="482"/>
        <w:jc w:val="left"/>
        <w:rPr>
          <w:rFonts w:ascii="宋体" w:cs="宋体"/>
          <w:b/>
          <w:color w:val="auto"/>
          <w:kern w:val="0"/>
          <w:sz w:val="24"/>
          <w:highlight w:val="none"/>
          <w:lang w:val="zh-CN"/>
        </w:rPr>
      </w:pPr>
    </w:p>
    <w:p w14:paraId="245B2C19">
      <w:pPr>
        <w:widowControl/>
        <w:ind w:firstLine="482"/>
        <w:jc w:val="left"/>
        <w:rPr>
          <w:rFonts w:ascii="仿宋" w:hAnsi="仿宋" w:eastAsia="仿宋" w:cs="仿宋"/>
          <w:b/>
          <w:color w:val="auto"/>
          <w:kern w:val="0"/>
          <w:sz w:val="28"/>
          <w:szCs w:val="28"/>
          <w:highlight w:val="none"/>
          <w:lang w:val="zh-CN"/>
        </w:rPr>
      </w:pPr>
      <w:r>
        <w:rPr>
          <w:rFonts w:hint="eastAsia" w:ascii="仿宋" w:hAnsi="仿宋" w:eastAsia="仿宋" w:cs="仿宋"/>
          <w:b/>
          <w:bCs/>
          <w:color w:val="auto"/>
          <w:kern w:val="0"/>
          <w:sz w:val="24"/>
          <w:highlight w:val="none"/>
        </w:rPr>
        <w:t>注：后附法定代表人及授权代表的身份证正反面复印件</w:t>
      </w:r>
    </w:p>
    <w:p w14:paraId="13B83A03">
      <w:pPr>
        <w:widowControl/>
        <w:jc w:val="left"/>
        <w:rPr>
          <w:rFonts w:ascii="仿宋" w:hAnsi="仿宋" w:eastAsia="仿宋" w:cs="仿宋"/>
          <w:b/>
          <w:color w:val="auto"/>
          <w:kern w:val="0"/>
          <w:sz w:val="28"/>
          <w:szCs w:val="28"/>
          <w:highlight w:val="none"/>
          <w:lang w:val="zh-CN"/>
        </w:rPr>
      </w:pPr>
      <w:r>
        <w:rPr>
          <w:rFonts w:ascii="仿宋" w:hAnsi="仿宋" w:eastAsia="仿宋" w:cs="仿宋"/>
          <w:b/>
          <w:color w:val="auto"/>
          <w:kern w:val="0"/>
          <w:sz w:val="28"/>
          <w:szCs w:val="28"/>
          <w:highlight w:val="none"/>
          <w:lang w:val="zh-CN"/>
        </w:rPr>
        <w:br w:type="page"/>
      </w:r>
    </w:p>
    <w:p w14:paraId="1B690658">
      <w:pPr>
        <w:widowControl/>
        <w:ind w:firstLine="562"/>
        <w:jc w:val="left"/>
        <w:outlineLvl w:val="1"/>
        <w:rPr>
          <w:rFonts w:ascii="仿宋" w:hAnsi="仿宋" w:eastAsia="仿宋" w:cs="仿宋"/>
          <w:b/>
          <w:color w:val="auto"/>
          <w:kern w:val="0"/>
          <w:sz w:val="28"/>
          <w:szCs w:val="28"/>
          <w:highlight w:val="none"/>
          <w:lang w:val="zh-CN"/>
        </w:rPr>
      </w:pPr>
      <w:r>
        <w:rPr>
          <w:rFonts w:hint="eastAsia" w:ascii="仿宋" w:hAnsi="仿宋" w:eastAsia="仿宋" w:cs="仿宋"/>
          <w:b/>
          <w:color w:val="auto"/>
          <w:kern w:val="0"/>
          <w:sz w:val="28"/>
          <w:szCs w:val="28"/>
          <w:highlight w:val="none"/>
          <w:lang w:val="zh-CN"/>
        </w:rPr>
        <w:t>三、谈判报价表</w:t>
      </w:r>
    </w:p>
    <w:p w14:paraId="41D264C8">
      <w:pPr>
        <w:widowControl/>
        <w:adjustRightInd w:val="0"/>
        <w:spacing w:line="360" w:lineRule="auto"/>
        <w:jc w:val="center"/>
        <w:rPr>
          <w:rFonts w:ascii="仿宋" w:hAnsi="仿宋" w:eastAsia="仿宋" w:cs="仿宋"/>
          <w:b/>
          <w:bCs/>
          <w:color w:val="auto"/>
          <w:kern w:val="0"/>
          <w:sz w:val="24"/>
          <w:highlight w:val="none"/>
          <w:lang w:val="zh-CN"/>
        </w:rPr>
      </w:pPr>
      <w:r>
        <w:rPr>
          <w:rFonts w:hint="eastAsia" w:ascii="仿宋" w:hAnsi="仿宋" w:eastAsia="仿宋" w:cs="仿宋"/>
          <w:b/>
          <w:bCs/>
          <w:color w:val="auto"/>
          <w:kern w:val="0"/>
          <w:sz w:val="28"/>
          <w:szCs w:val="28"/>
          <w:highlight w:val="none"/>
          <w:lang w:val="zh-CN"/>
        </w:rPr>
        <w:t>谈判报价表（第</w:t>
      </w:r>
      <w:r>
        <w:rPr>
          <w:rFonts w:hint="eastAsia" w:ascii="仿宋" w:hAnsi="仿宋" w:eastAsia="仿宋" w:cs="仿宋"/>
          <w:b/>
          <w:bCs/>
          <w:color w:val="auto"/>
          <w:kern w:val="0"/>
          <w:sz w:val="28"/>
          <w:szCs w:val="28"/>
          <w:highlight w:val="none"/>
          <w:u w:val="single"/>
          <w:lang w:val="zh-CN"/>
        </w:rPr>
        <w:t xml:space="preserve"> </w:t>
      </w:r>
      <w:r>
        <w:rPr>
          <w:rFonts w:hint="eastAsia" w:ascii="仿宋" w:hAnsi="仿宋" w:eastAsia="仿宋" w:cs="仿宋"/>
          <w:b/>
          <w:bCs/>
          <w:color w:val="auto"/>
          <w:kern w:val="0"/>
          <w:sz w:val="28"/>
          <w:szCs w:val="28"/>
          <w:highlight w:val="none"/>
          <w:u w:val="single"/>
        </w:rPr>
        <w:t xml:space="preserve">  </w:t>
      </w:r>
      <w:r>
        <w:rPr>
          <w:rFonts w:hint="eastAsia" w:ascii="仿宋" w:hAnsi="仿宋" w:eastAsia="仿宋" w:cs="仿宋"/>
          <w:b/>
          <w:bCs/>
          <w:color w:val="auto"/>
          <w:kern w:val="0"/>
          <w:sz w:val="28"/>
          <w:szCs w:val="28"/>
          <w:highlight w:val="none"/>
          <w:u w:val="single"/>
          <w:lang w:val="zh-CN"/>
        </w:rPr>
        <w:t xml:space="preserve"> </w:t>
      </w:r>
      <w:r>
        <w:rPr>
          <w:rFonts w:hint="eastAsia" w:ascii="仿宋" w:hAnsi="仿宋" w:eastAsia="仿宋" w:cs="仿宋"/>
          <w:b/>
          <w:bCs/>
          <w:color w:val="auto"/>
          <w:kern w:val="0"/>
          <w:sz w:val="28"/>
          <w:szCs w:val="28"/>
          <w:highlight w:val="none"/>
          <w:lang w:val="zh-CN"/>
        </w:rPr>
        <w:t>轮）</w:t>
      </w:r>
    </w:p>
    <w:tbl>
      <w:tblPr>
        <w:tblStyle w:val="42"/>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6159"/>
        <w:gridCol w:w="1302"/>
      </w:tblGrid>
      <w:tr w14:paraId="4E33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674" w:type="dxa"/>
            <w:vMerge w:val="restart"/>
            <w:vAlign w:val="center"/>
          </w:tcPr>
          <w:p w14:paraId="56A0A76B">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谈判报价</w:t>
            </w:r>
          </w:p>
        </w:tc>
        <w:tc>
          <w:tcPr>
            <w:tcW w:w="6159" w:type="dxa"/>
            <w:vAlign w:val="center"/>
          </w:tcPr>
          <w:p w14:paraId="710B4C0A">
            <w:pPr>
              <w:pStyle w:val="18"/>
              <w:jc w:val="both"/>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xml:space="preserve">大写：  </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tc>
        <w:tc>
          <w:tcPr>
            <w:tcW w:w="1302" w:type="dxa"/>
            <w:vMerge w:val="restart"/>
            <w:vAlign w:val="center"/>
          </w:tcPr>
          <w:p w14:paraId="346D6B29">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单位：元</w:t>
            </w:r>
          </w:p>
        </w:tc>
      </w:tr>
      <w:tr w14:paraId="53C7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1674" w:type="dxa"/>
            <w:vMerge w:val="continue"/>
            <w:vAlign w:val="center"/>
          </w:tcPr>
          <w:p w14:paraId="6E48C419">
            <w:pPr>
              <w:pStyle w:val="18"/>
              <w:rPr>
                <w:rFonts w:ascii="仿宋" w:hAnsi="仿宋" w:eastAsia="仿宋" w:cs="仿宋"/>
                <w:bCs/>
                <w:color w:val="auto"/>
                <w:sz w:val="24"/>
                <w:szCs w:val="24"/>
                <w:highlight w:val="none"/>
              </w:rPr>
            </w:pPr>
          </w:p>
        </w:tc>
        <w:tc>
          <w:tcPr>
            <w:tcW w:w="6159" w:type="dxa"/>
            <w:tcBorders>
              <w:bottom w:val="single" w:color="auto" w:sz="4" w:space="0"/>
            </w:tcBorders>
            <w:vAlign w:val="center"/>
          </w:tcPr>
          <w:p w14:paraId="11BCEC67">
            <w:pPr>
              <w:pStyle w:val="18"/>
              <w:jc w:val="both"/>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xml:space="preserve">小写：  </w:t>
            </w:r>
            <w:r>
              <w:rPr>
                <w:rFonts w:hint="eastAsia" w:ascii="仿宋" w:hAnsi="仿宋" w:eastAsia="仿宋" w:cs="仿宋"/>
                <w:bCs/>
                <w:color w:val="auto"/>
                <w:sz w:val="24"/>
                <w:szCs w:val="24"/>
                <w:highlight w:val="none"/>
                <w:u w:val="single"/>
              </w:rPr>
              <w:t xml:space="preserve">                    </w:t>
            </w:r>
          </w:p>
        </w:tc>
        <w:tc>
          <w:tcPr>
            <w:tcW w:w="1302" w:type="dxa"/>
            <w:vMerge w:val="continue"/>
            <w:tcBorders>
              <w:bottom w:val="single" w:color="auto" w:sz="4" w:space="0"/>
            </w:tcBorders>
            <w:vAlign w:val="center"/>
          </w:tcPr>
          <w:p w14:paraId="62EDBE48">
            <w:pPr>
              <w:pStyle w:val="18"/>
              <w:rPr>
                <w:rFonts w:ascii="仿宋" w:hAnsi="仿宋" w:eastAsia="仿宋" w:cs="仿宋"/>
                <w:bCs/>
                <w:color w:val="auto"/>
                <w:sz w:val="24"/>
                <w:szCs w:val="24"/>
                <w:highlight w:val="none"/>
              </w:rPr>
            </w:pPr>
          </w:p>
        </w:tc>
      </w:tr>
      <w:tr w14:paraId="3259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14:paraId="0B051AAF">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工期</w:t>
            </w:r>
          </w:p>
        </w:tc>
        <w:tc>
          <w:tcPr>
            <w:tcW w:w="6159" w:type="dxa"/>
            <w:vAlign w:val="center"/>
          </w:tcPr>
          <w:p w14:paraId="333E5A12">
            <w:pPr>
              <w:pStyle w:val="18"/>
              <w:rPr>
                <w:rFonts w:ascii="仿宋" w:hAnsi="仿宋" w:eastAsia="仿宋" w:cs="仿宋"/>
                <w:bCs/>
                <w:color w:val="auto"/>
                <w:sz w:val="24"/>
                <w:szCs w:val="24"/>
                <w:highlight w:val="none"/>
              </w:rPr>
            </w:pPr>
          </w:p>
        </w:tc>
        <w:tc>
          <w:tcPr>
            <w:tcW w:w="1302" w:type="dxa"/>
            <w:vAlign w:val="center"/>
          </w:tcPr>
          <w:p w14:paraId="4EA836B7">
            <w:pPr>
              <w:pStyle w:val="18"/>
              <w:rPr>
                <w:rFonts w:ascii="仿宋" w:hAnsi="仿宋" w:eastAsia="仿宋" w:cs="仿宋"/>
                <w:bCs/>
                <w:color w:val="auto"/>
                <w:sz w:val="24"/>
                <w:szCs w:val="24"/>
                <w:highlight w:val="none"/>
              </w:rPr>
            </w:pPr>
          </w:p>
        </w:tc>
      </w:tr>
      <w:tr w14:paraId="3ABB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14:paraId="3192519A">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项目负责人</w:t>
            </w:r>
          </w:p>
        </w:tc>
        <w:tc>
          <w:tcPr>
            <w:tcW w:w="6159" w:type="dxa"/>
            <w:vAlign w:val="center"/>
          </w:tcPr>
          <w:p w14:paraId="41961586">
            <w:pPr>
              <w:pStyle w:val="18"/>
              <w:rPr>
                <w:rFonts w:ascii="仿宋" w:hAnsi="仿宋" w:eastAsia="仿宋" w:cs="仿宋"/>
                <w:bCs/>
                <w:color w:val="auto"/>
                <w:sz w:val="24"/>
                <w:szCs w:val="24"/>
                <w:highlight w:val="none"/>
              </w:rPr>
            </w:pPr>
          </w:p>
        </w:tc>
        <w:tc>
          <w:tcPr>
            <w:tcW w:w="1302" w:type="dxa"/>
            <w:vAlign w:val="center"/>
          </w:tcPr>
          <w:p w14:paraId="6F21A8A3">
            <w:pPr>
              <w:pStyle w:val="18"/>
              <w:rPr>
                <w:rFonts w:ascii="仿宋" w:hAnsi="仿宋" w:eastAsia="仿宋" w:cs="仿宋"/>
                <w:bCs/>
                <w:color w:val="auto"/>
                <w:sz w:val="24"/>
                <w:szCs w:val="24"/>
                <w:highlight w:val="none"/>
              </w:rPr>
            </w:pPr>
          </w:p>
        </w:tc>
      </w:tr>
      <w:tr w14:paraId="4E76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14:paraId="66D14D81">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响应文件份数</w:t>
            </w:r>
          </w:p>
        </w:tc>
        <w:tc>
          <w:tcPr>
            <w:tcW w:w="6159" w:type="dxa"/>
            <w:vAlign w:val="center"/>
          </w:tcPr>
          <w:p w14:paraId="0ADE9C82">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正本：</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份              副本：</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份</w:t>
            </w:r>
          </w:p>
        </w:tc>
        <w:tc>
          <w:tcPr>
            <w:tcW w:w="1302" w:type="dxa"/>
            <w:vAlign w:val="center"/>
          </w:tcPr>
          <w:p w14:paraId="6128607B">
            <w:pPr>
              <w:pStyle w:val="18"/>
              <w:rPr>
                <w:rFonts w:ascii="仿宋" w:hAnsi="仿宋" w:eastAsia="仿宋" w:cs="仿宋"/>
                <w:bCs/>
                <w:color w:val="auto"/>
                <w:sz w:val="24"/>
                <w:szCs w:val="24"/>
                <w:highlight w:val="none"/>
              </w:rPr>
            </w:pPr>
          </w:p>
        </w:tc>
      </w:tr>
      <w:tr w14:paraId="4F48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674" w:type="dxa"/>
            <w:vAlign w:val="center"/>
          </w:tcPr>
          <w:p w14:paraId="2D5FA0DF">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其它</w:t>
            </w:r>
          </w:p>
        </w:tc>
        <w:tc>
          <w:tcPr>
            <w:tcW w:w="6159" w:type="dxa"/>
            <w:vAlign w:val="center"/>
          </w:tcPr>
          <w:p w14:paraId="73828B1B">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zh-CN"/>
              </w:rPr>
              <w:t>（如有优惠条件须在此注明）</w:t>
            </w:r>
          </w:p>
        </w:tc>
        <w:tc>
          <w:tcPr>
            <w:tcW w:w="1302" w:type="dxa"/>
            <w:vAlign w:val="center"/>
          </w:tcPr>
          <w:p w14:paraId="59EE6B04">
            <w:pPr>
              <w:pStyle w:val="18"/>
              <w:rPr>
                <w:rFonts w:ascii="仿宋" w:hAnsi="仿宋" w:eastAsia="仿宋" w:cs="仿宋"/>
                <w:bCs/>
                <w:color w:val="auto"/>
                <w:sz w:val="24"/>
                <w:szCs w:val="24"/>
                <w:highlight w:val="none"/>
              </w:rPr>
            </w:pPr>
          </w:p>
        </w:tc>
      </w:tr>
    </w:tbl>
    <w:p w14:paraId="599F10D1">
      <w:pPr>
        <w:widowControl/>
        <w:adjustRightInd w:val="0"/>
        <w:spacing w:line="480" w:lineRule="auto"/>
        <w:jc w:val="left"/>
        <w:rPr>
          <w:rFonts w:ascii="仿宋" w:hAnsi="仿宋" w:eastAsia="仿宋" w:cs="仿宋"/>
          <w:color w:val="auto"/>
          <w:kern w:val="0"/>
          <w:sz w:val="24"/>
          <w:highlight w:val="none"/>
          <w:lang w:val="zh-CN"/>
        </w:rPr>
      </w:pPr>
    </w:p>
    <w:p w14:paraId="19F57A1C">
      <w:pPr>
        <w:widowControl/>
        <w:shd w:val="clear" w:color="auto" w:fill="FFFFFF"/>
        <w:spacing w:line="48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4AA9A26B">
      <w:pPr>
        <w:widowControl/>
        <w:shd w:val="clear" w:color="auto" w:fill="FFFFFF"/>
        <w:spacing w:line="48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040F19A6">
      <w:pPr>
        <w:widowControl/>
        <w:adjustRightInd w:val="0"/>
        <w:spacing w:line="48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日期：    年    月    日</w:t>
      </w:r>
    </w:p>
    <w:p w14:paraId="242F1CC8">
      <w:pPr>
        <w:widowControl/>
        <w:adjustRightInd w:val="0"/>
        <w:spacing w:line="360" w:lineRule="auto"/>
        <w:jc w:val="left"/>
        <w:rPr>
          <w:rFonts w:ascii="宋体" w:hAnsi="宋体" w:cs="宋体"/>
          <w:color w:val="auto"/>
          <w:kern w:val="0"/>
          <w:sz w:val="24"/>
          <w:highlight w:val="none"/>
          <w:lang w:val="zh-CN"/>
        </w:rPr>
      </w:pPr>
    </w:p>
    <w:p w14:paraId="3978D578">
      <w:pPr>
        <w:widowControl/>
        <w:adjustRightInd w:val="0"/>
        <w:spacing w:line="360" w:lineRule="auto"/>
        <w:jc w:val="left"/>
        <w:rPr>
          <w:rFonts w:ascii="宋体" w:hAnsi="宋体" w:cs="宋体"/>
          <w:color w:val="auto"/>
          <w:kern w:val="0"/>
          <w:sz w:val="24"/>
          <w:highlight w:val="none"/>
          <w:lang w:val="zh-CN"/>
        </w:rPr>
      </w:pPr>
    </w:p>
    <w:p w14:paraId="3FFA8B87">
      <w:pPr>
        <w:widowControl/>
        <w:adjustRightInd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说明：</w:t>
      </w:r>
    </w:p>
    <w:p w14:paraId="38FEC9B9">
      <w:pPr>
        <w:widowControl/>
        <w:adjustRightInd w:val="0"/>
        <w:spacing w:line="360" w:lineRule="auto"/>
        <w:ind w:firstLine="480" w:firstLineChars="200"/>
        <w:jc w:val="left"/>
        <w:rPr>
          <w:rFonts w:ascii="仿宋" w:hAnsi="仿宋" w:eastAsia="仿宋" w:cs="仿宋"/>
          <w:b/>
          <w:bCs/>
          <w:color w:val="auto"/>
          <w:kern w:val="0"/>
          <w:sz w:val="28"/>
          <w:szCs w:val="28"/>
          <w:highlight w:val="none"/>
          <w:lang w:val="zh-CN"/>
        </w:rPr>
      </w:pPr>
      <w:r>
        <w:rPr>
          <w:rFonts w:hint="eastAsia" w:ascii="仿宋" w:hAnsi="仿宋" w:eastAsia="仿宋" w:cs="仿宋"/>
          <w:color w:val="auto"/>
          <w:kern w:val="0"/>
          <w:sz w:val="24"/>
          <w:highlight w:val="none"/>
          <w:lang w:val="zh-CN"/>
        </w:rPr>
        <w:t>《谈判报价表》一份，要求单独封装并标明“谈判报价表”字样(如未单独封装或未加盖单位公章的,将作为无效谈判处理)，随谈判响应文件一并递交，以便唱标时使用。</w:t>
      </w:r>
    </w:p>
    <w:p w14:paraId="07EF5BAF">
      <w:pPr>
        <w:widowControl/>
        <w:jc w:val="left"/>
        <w:rPr>
          <w:rFonts w:ascii="仿宋" w:hAnsi="仿宋" w:eastAsia="仿宋" w:cs="仿宋"/>
          <w:b/>
          <w:bCs/>
          <w:color w:val="auto"/>
          <w:kern w:val="0"/>
          <w:sz w:val="28"/>
          <w:szCs w:val="28"/>
          <w:highlight w:val="none"/>
          <w:lang w:val="zh-CN"/>
        </w:rPr>
      </w:pPr>
      <w:r>
        <w:rPr>
          <w:rFonts w:ascii="仿宋" w:hAnsi="仿宋" w:eastAsia="仿宋" w:cs="仿宋"/>
          <w:b/>
          <w:bCs/>
          <w:color w:val="auto"/>
          <w:kern w:val="0"/>
          <w:sz w:val="28"/>
          <w:szCs w:val="28"/>
          <w:highlight w:val="none"/>
          <w:lang w:val="zh-CN"/>
        </w:rPr>
        <w:br w:type="page"/>
      </w:r>
    </w:p>
    <w:p w14:paraId="2C65420F">
      <w:pPr>
        <w:ind w:firstLine="562"/>
        <w:outlineLvl w:val="1"/>
        <w:rPr>
          <w:rFonts w:ascii="仿宋" w:hAnsi="仿宋" w:eastAsia="仿宋" w:cs="仿宋"/>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t>四、第一章谈判邀请中</w:t>
      </w:r>
      <w:r>
        <w:rPr>
          <w:rFonts w:hint="eastAsia" w:ascii="仿宋" w:hAnsi="仿宋" w:eastAsia="仿宋" w:cs="仿宋"/>
          <w:b/>
          <w:bCs/>
          <w:color w:val="auto"/>
          <w:kern w:val="0"/>
          <w:sz w:val="28"/>
          <w:szCs w:val="28"/>
          <w:highlight w:val="none"/>
        </w:rPr>
        <w:t>2</w:t>
      </w:r>
      <w:r>
        <w:rPr>
          <w:rFonts w:hint="eastAsia" w:ascii="仿宋" w:hAnsi="仿宋" w:eastAsia="仿宋" w:cs="仿宋"/>
          <w:b/>
          <w:bCs/>
          <w:color w:val="auto"/>
          <w:kern w:val="0"/>
          <w:sz w:val="28"/>
          <w:szCs w:val="28"/>
          <w:highlight w:val="none"/>
          <w:lang w:val="zh-CN"/>
        </w:rPr>
        <w:t>.1条规定的资格条件证明文件。</w:t>
      </w:r>
    </w:p>
    <w:p w14:paraId="1723F9B1">
      <w:pPr>
        <w:widowControl/>
        <w:adjustRightInd w:val="0"/>
        <w:ind w:firstLine="562"/>
        <w:jc w:val="left"/>
        <w:outlineLvl w:val="1"/>
        <w:rPr>
          <w:rFonts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t>五、第一章谈判邀请中</w:t>
      </w:r>
      <w:r>
        <w:rPr>
          <w:rFonts w:hint="eastAsia" w:ascii="仿宋" w:hAnsi="仿宋" w:eastAsia="仿宋" w:cs="仿宋"/>
          <w:b/>
          <w:bCs/>
          <w:color w:val="auto"/>
          <w:kern w:val="0"/>
          <w:sz w:val="28"/>
          <w:szCs w:val="28"/>
          <w:highlight w:val="none"/>
        </w:rPr>
        <w:t>2</w:t>
      </w:r>
      <w:r>
        <w:rPr>
          <w:rFonts w:hint="eastAsia" w:ascii="仿宋" w:hAnsi="仿宋" w:eastAsia="仿宋" w:cs="仿宋"/>
          <w:b/>
          <w:bCs/>
          <w:color w:val="auto"/>
          <w:kern w:val="0"/>
          <w:sz w:val="28"/>
          <w:szCs w:val="28"/>
          <w:highlight w:val="none"/>
          <w:lang w:val="zh-CN"/>
        </w:rPr>
        <w:t>.2 需求方根据采购项目的特殊要求规定的特定条件证明文件。</w:t>
      </w:r>
    </w:p>
    <w:p w14:paraId="25A44BE4">
      <w:pPr>
        <w:rPr>
          <w:rFonts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br w:type="page"/>
      </w:r>
    </w:p>
    <w:p w14:paraId="5302F700">
      <w:pPr>
        <w:widowControl/>
        <w:adjustRightInd w:val="0"/>
        <w:ind w:firstLine="562"/>
        <w:jc w:val="left"/>
        <w:outlineLvl w:val="1"/>
        <w:rPr>
          <w:rFonts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t>六、分项报价明细表</w:t>
      </w:r>
    </w:p>
    <w:p w14:paraId="7F37066B">
      <w:pPr>
        <w:widowControl/>
        <w:adjustRightInd w:val="0"/>
        <w:spacing w:line="240" w:lineRule="atLeast"/>
        <w:jc w:val="center"/>
        <w:rPr>
          <w:rFonts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t>分项报价表</w:t>
      </w:r>
    </w:p>
    <w:p w14:paraId="3DC25A6E">
      <w:pPr>
        <w:widowControl/>
        <w:adjustRightInd w:val="0"/>
        <w:spacing w:line="240" w:lineRule="atLeast"/>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项目名称： </w:t>
      </w:r>
    </w:p>
    <w:p w14:paraId="74A1C19B">
      <w:pPr>
        <w:widowControl/>
        <w:adjustRightInd w:val="0"/>
        <w:spacing w:line="240" w:lineRule="atLeast"/>
        <w:jc w:val="left"/>
        <w:rPr>
          <w:rFonts w:ascii="仿宋" w:hAnsi="仿宋" w:eastAsia="仿宋" w:cs="仿宋"/>
          <w:b/>
          <w:bCs/>
          <w:color w:val="auto"/>
          <w:kern w:val="0"/>
          <w:sz w:val="24"/>
          <w:highlight w:val="none"/>
          <w:lang w:val="zh-CN"/>
        </w:rPr>
      </w:pPr>
      <w:r>
        <w:rPr>
          <w:rFonts w:hint="eastAsia" w:ascii="仿宋" w:hAnsi="仿宋" w:eastAsia="仿宋" w:cs="仿宋"/>
          <w:color w:val="auto"/>
          <w:kern w:val="0"/>
          <w:sz w:val="24"/>
          <w:highlight w:val="none"/>
          <w:lang w:val="zh-CN"/>
        </w:rPr>
        <w:t>项目编号：</w:t>
      </w:r>
    </w:p>
    <w:p w14:paraId="4F9B49E6">
      <w:pPr>
        <w:widowControl/>
        <w:adjustRightInd w:val="0"/>
        <w:spacing w:line="360" w:lineRule="auto"/>
        <w:ind w:firstLine="482"/>
        <w:jc w:val="center"/>
        <w:rPr>
          <w:rFonts w:ascii="仿宋" w:hAnsi="仿宋" w:eastAsia="仿宋" w:cs="仿宋"/>
          <w:b/>
          <w:color w:val="auto"/>
          <w:kern w:val="0"/>
          <w:sz w:val="24"/>
          <w:highlight w:val="none"/>
          <w:lang w:val="zh-CN"/>
        </w:rPr>
      </w:pPr>
    </w:p>
    <w:p w14:paraId="6067B821">
      <w:pPr>
        <w:widowControl/>
        <w:adjustRightInd w:val="0"/>
        <w:spacing w:line="360" w:lineRule="auto"/>
        <w:ind w:firstLine="482"/>
        <w:jc w:val="center"/>
        <w:rPr>
          <w:rFonts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按照采购文件附件《工程量清单》要求报价</w:t>
      </w:r>
    </w:p>
    <w:p w14:paraId="700139A5">
      <w:pPr>
        <w:widowControl/>
        <w:adjustRightInd w:val="0"/>
        <w:spacing w:line="360" w:lineRule="auto"/>
        <w:ind w:firstLine="482"/>
        <w:jc w:val="left"/>
        <w:rPr>
          <w:rFonts w:ascii="宋体" w:hAnsi="宋体" w:cs="宋体"/>
          <w:b/>
          <w:color w:val="auto"/>
          <w:kern w:val="0"/>
          <w:sz w:val="24"/>
          <w:highlight w:val="none"/>
          <w:lang w:val="zh-CN"/>
        </w:rPr>
      </w:pPr>
    </w:p>
    <w:p w14:paraId="7B233F48">
      <w:pPr>
        <w:widowControl/>
        <w:shd w:val="clear" w:color="auto" w:fill="FFFFFF"/>
        <w:spacing w:line="480" w:lineRule="auto"/>
        <w:jc w:val="left"/>
        <w:rPr>
          <w:rFonts w:ascii="仿宋" w:hAnsi="仿宋" w:eastAsia="仿宋" w:cs="仿宋"/>
          <w:color w:val="auto"/>
          <w:kern w:val="0"/>
          <w:sz w:val="24"/>
          <w:highlight w:val="none"/>
          <w:lang w:val="zh-CN"/>
        </w:rPr>
      </w:pPr>
    </w:p>
    <w:p w14:paraId="40B6B17E">
      <w:pPr>
        <w:widowControl/>
        <w:shd w:val="clear" w:color="auto" w:fill="FFFFFF"/>
        <w:spacing w:line="480" w:lineRule="auto"/>
        <w:jc w:val="left"/>
        <w:rPr>
          <w:rFonts w:ascii="仿宋" w:hAnsi="仿宋" w:eastAsia="仿宋" w:cs="仿宋"/>
          <w:color w:val="auto"/>
          <w:kern w:val="0"/>
          <w:sz w:val="24"/>
          <w:highlight w:val="none"/>
          <w:lang w:val="zh-CN"/>
        </w:rPr>
      </w:pPr>
    </w:p>
    <w:p w14:paraId="52D20F36">
      <w:pPr>
        <w:widowControl/>
        <w:shd w:val="clear" w:color="auto" w:fill="FFFFFF"/>
        <w:spacing w:line="48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2373F904">
      <w:pPr>
        <w:widowControl/>
        <w:shd w:val="clear" w:color="auto" w:fill="FFFFFF"/>
        <w:spacing w:line="48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2624ECED">
      <w:pPr>
        <w:widowControl/>
        <w:adjustRightInd w:val="0"/>
        <w:spacing w:line="48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日期：    年    月    日</w:t>
      </w:r>
    </w:p>
    <w:p w14:paraId="524E23BE">
      <w:pPr>
        <w:ind w:firstLine="482"/>
        <w:rPr>
          <w:rFonts w:ascii="仿宋" w:hAnsi="仿宋" w:eastAsia="仿宋" w:cs="仿宋"/>
          <w:b/>
          <w:bCs/>
          <w:color w:val="auto"/>
          <w:sz w:val="24"/>
          <w:highlight w:val="none"/>
        </w:rPr>
      </w:pPr>
    </w:p>
    <w:p w14:paraId="26CC0AA5">
      <w:pPr>
        <w:spacing w:line="360" w:lineRule="auto"/>
        <w:ind w:firstLine="482"/>
        <w:rPr>
          <w:rFonts w:ascii="仿宋" w:hAnsi="仿宋" w:eastAsia="仿宋" w:cs="仿宋"/>
          <w:b/>
          <w:bCs/>
          <w:color w:val="auto"/>
          <w:sz w:val="24"/>
          <w:highlight w:val="none"/>
        </w:rPr>
      </w:pPr>
    </w:p>
    <w:p w14:paraId="0B9BECD5">
      <w:pPr>
        <w:widowControl/>
        <w:adjustRightInd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说明：</w:t>
      </w:r>
    </w:p>
    <w:p w14:paraId="77FDFDA3">
      <w:pPr>
        <w:widowControl/>
        <w:shd w:val="clear" w:color="auto" w:fill="FFFFFF"/>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需求方对每一项货物或服务仅接受一个价格，不得填报有选择性的报价方案。若有优惠条款需注明，但不得影响报价，影响产品整体功能。</w:t>
      </w:r>
    </w:p>
    <w:p w14:paraId="18795735">
      <w:pPr>
        <w:widowControl/>
        <w:shd w:val="clear" w:color="auto" w:fill="FFFFFF"/>
        <w:spacing w:line="360" w:lineRule="auto"/>
        <w:ind w:firstLine="422"/>
        <w:rPr>
          <w:rFonts w:ascii="宋体" w:hAnsi="宋体"/>
          <w:b/>
          <w:color w:val="auto"/>
          <w:kern w:val="0"/>
          <w:szCs w:val="21"/>
          <w:highlight w:val="none"/>
        </w:rPr>
      </w:pPr>
    </w:p>
    <w:p w14:paraId="3FB55433">
      <w:pPr>
        <w:widowControl/>
        <w:shd w:val="clear" w:color="auto" w:fill="FFFFFF"/>
        <w:spacing w:line="360" w:lineRule="auto"/>
        <w:ind w:firstLine="422"/>
        <w:rPr>
          <w:rFonts w:ascii="宋体" w:hAnsi="宋体"/>
          <w:b/>
          <w:color w:val="auto"/>
          <w:kern w:val="0"/>
          <w:szCs w:val="21"/>
          <w:highlight w:val="none"/>
        </w:rPr>
      </w:pPr>
    </w:p>
    <w:p w14:paraId="300EE0CD">
      <w:pPr>
        <w:ind w:firstLine="482"/>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br w:type="page"/>
      </w:r>
    </w:p>
    <w:p w14:paraId="539FC2C9">
      <w:pPr>
        <w:widowControl/>
        <w:shd w:val="clear" w:color="auto" w:fill="FFFFFF"/>
        <w:spacing w:line="360" w:lineRule="auto"/>
        <w:ind w:firstLine="562"/>
        <w:outlineLvl w:val="1"/>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七、商务条款偏离表</w:t>
      </w:r>
    </w:p>
    <w:p w14:paraId="25FD0ED2">
      <w:pPr>
        <w:widowControl/>
        <w:shd w:val="clear" w:color="auto" w:fill="FFFFFF"/>
        <w:spacing w:line="360" w:lineRule="auto"/>
        <w:ind w:left="420"/>
        <w:jc w:val="center"/>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商务条款偏离表</w:t>
      </w:r>
    </w:p>
    <w:p w14:paraId="683201CC">
      <w:pPr>
        <w:widowControl/>
        <w:shd w:val="clear" w:color="auto" w:fill="FFFFFF"/>
        <w:jc w:val="left"/>
        <w:rPr>
          <w:rFonts w:ascii="仿宋" w:hAnsi="仿宋" w:eastAsia="仿宋" w:cs="仿宋"/>
          <w:bCs/>
          <w:color w:val="auto"/>
          <w:kern w:val="0"/>
          <w:sz w:val="24"/>
          <w:highlight w:val="none"/>
          <w:u w:val="single"/>
        </w:rPr>
      </w:pPr>
      <w:r>
        <w:rPr>
          <w:rFonts w:hint="eastAsia" w:ascii="仿宋" w:hAnsi="仿宋" w:eastAsia="仿宋" w:cs="仿宋"/>
          <w:color w:val="auto"/>
          <w:kern w:val="0"/>
          <w:sz w:val="24"/>
          <w:highlight w:val="none"/>
        </w:rPr>
        <w:t xml:space="preserve">项目名称：                                   </w:t>
      </w:r>
      <w:r>
        <w:rPr>
          <w:rFonts w:hint="eastAsia" w:ascii="仿宋" w:hAnsi="仿宋" w:eastAsia="仿宋" w:cs="仿宋"/>
          <w:bCs/>
          <w:color w:val="auto"/>
          <w:kern w:val="0"/>
          <w:sz w:val="24"/>
          <w:highlight w:val="none"/>
        </w:rPr>
        <w:t>项目编号：</w:t>
      </w:r>
    </w:p>
    <w:tbl>
      <w:tblPr>
        <w:tblStyle w:val="42"/>
        <w:tblW w:w="9210" w:type="dxa"/>
        <w:jc w:val="center"/>
        <w:tblLayout w:type="fixed"/>
        <w:tblCellMar>
          <w:top w:w="0" w:type="dxa"/>
          <w:left w:w="10" w:type="dxa"/>
          <w:bottom w:w="0" w:type="dxa"/>
          <w:right w:w="10" w:type="dxa"/>
        </w:tblCellMar>
      </w:tblPr>
      <w:tblGrid>
        <w:gridCol w:w="1225"/>
        <w:gridCol w:w="3291"/>
        <w:gridCol w:w="3429"/>
        <w:gridCol w:w="1265"/>
      </w:tblGrid>
      <w:tr w14:paraId="1D1F561D">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F35966A">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序号</w:t>
            </w:r>
          </w:p>
        </w:tc>
        <w:tc>
          <w:tcPr>
            <w:tcW w:w="3291" w:type="dxa"/>
            <w:tcBorders>
              <w:top w:val="single" w:color="auto" w:sz="6" w:space="0"/>
              <w:left w:val="single" w:color="auto" w:sz="6" w:space="0"/>
              <w:bottom w:val="single" w:color="auto" w:sz="6" w:space="0"/>
              <w:right w:val="single" w:color="auto" w:sz="6" w:space="0"/>
            </w:tcBorders>
            <w:vAlign w:val="center"/>
          </w:tcPr>
          <w:p w14:paraId="56CA1BFC">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谈判文件的商务条款</w:t>
            </w:r>
          </w:p>
        </w:tc>
        <w:tc>
          <w:tcPr>
            <w:tcW w:w="3429" w:type="dxa"/>
            <w:tcBorders>
              <w:top w:val="single" w:color="auto" w:sz="6" w:space="0"/>
              <w:left w:val="single" w:color="auto" w:sz="6" w:space="0"/>
              <w:bottom w:val="single" w:color="auto" w:sz="6" w:space="0"/>
              <w:right w:val="single" w:color="auto" w:sz="6" w:space="0"/>
            </w:tcBorders>
            <w:vAlign w:val="center"/>
          </w:tcPr>
          <w:p w14:paraId="643F0DEA">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响应文件的商务条款</w:t>
            </w:r>
          </w:p>
        </w:tc>
        <w:tc>
          <w:tcPr>
            <w:tcW w:w="1265" w:type="dxa"/>
            <w:tcBorders>
              <w:top w:val="single" w:color="auto" w:sz="6" w:space="0"/>
              <w:left w:val="single" w:color="auto" w:sz="6" w:space="0"/>
              <w:bottom w:val="single" w:color="auto" w:sz="6" w:space="0"/>
              <w:right w:val="single" w:color="auto" w:sz="6" w:space="0"/>
            </w:tcBorders>
            <w:vAlign w:val="center"/>
          </w:tcPr>
          <w:p w14:paraId="3AB32DD1">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说明</w:t>
            </w:r>
          </w:p>
        </w:tc>
      </w:tr>
      <w:tr w14:paraId="12850EB9">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DFCA296">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p>
        </w:tc>
        <w:tc>
          <w:tcPr>
            <w:tcW w:w="3291" w:type="dxa"/>
            <w:tcBorders>
              <w:top w:val="single" w:color="auto" w:sz="6" w:space="0"/>
              <w:left w:val="single" w:color="auto" w:sz="6" w:space="0"/>
              <w:bottom w:val="single" w:color="auto" w:sz="6" w:space="0"/>
              <w:right w:val="single" w:color="auto" w:sz="6" w:space="0"/>
            </w:tcBorders>
            <w:vAlign w:val="center"/>
          </w:tcPr>
          <w:p w14:paraId="251FBD3C">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567EAA24">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5D6C307">
            <w:pPr>
              <w:autoSpaceDE w:val="0"/>
              <w:autoSpaceDN w:val="0"/>
              <w:adjustRightInd w:val="0"/>
              <w:jc w:val="center"/>
              <w:rPr>
                <w:rFonts w:ascii="仿宋" w:hAnsi="仿宋" w:eastAsia="仿宋" w:cs="仿宋"/>
                <w:color w:val="auto"/>
                <w:sz w:val="24"/>
                <w:highlight w:val="none"/>
                <w:lang w:val="zh-CN"/>
              </w:rPr>
            </w:pPr>
          </w:p>
        </w:tc>
      </w:tr>
      <w:tr w14:paraId="4FA34541">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A8652F3">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p>
        </w:tc>
        <w:tc>
          <w:tcPr>
            <w:tcW w:w="3291" w:type="dxa"/>
            <w:tcBorders>
              <w:top w:val="single" w:color="auto" w:sz="6" w:space="0"/>
              <w:left w:val="single" w:color="auto" w:sz="6" w:space="0"/>
              <w:bottom w:val="single" w:color="auto" w:sz="6" w:space="0"/>
              <w:right w:val="single" w:color="auto" w:sz="6" w:space="0"/>
            </w:tcBorders>
            <w:vAlign w:val="center"/>
          </w:tcPr>
          <w:p w14:paraId="4F8BA72E">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619F1309">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BF90FC5">
            <w:pPr>
              <w:autoSpaceDE w:val="0"/>
              <w:autoSpaceDN w:val="0"/>
              <w:adjustRightInd w:val="0"/>
              <w:jc w:val="center"/>
              <w:rPr>
                <w:rFonts w:ascii="仿宋" w:hAnsi="仿宋" w:eastAsia="仿宋" w:cs="仿宋"/>
                <w:color w:val="auto"/>
                <w:sz w:val="24"/>
                <w:highlight w:val="none"/>
                <w:lang w:val="zh-CN"/>
              </w:rPr>
            </w:pPr>
          </w:p>
        </w:tc>
      </w:tr>
      <w:tr w14:paraId="6DAD29AC">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A86DA08">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w:t>
            </w:r>
          </w:p>
        </w:tc>
        <w:tc>
          <w:tcPr>
            <w:tcW w:w="3291" w:type="dxa"/>
            <w:tcBorders>
              <w:top w:val="single" w:color="auto" w:sz="6" w:space="0"/>
              <w:left w:val="single" w:color="auto" w:sz="6" w:space="0"/>
              <w:bottom w:val="single" w:color="auto" w:sz="6" w:space="0"/>
              <w:right w:val="single" w:color="auto" w:sz="6" w:space="0"/>
            </w:tcBorders>
            <w:vAlign w:val="center"/>
          </w:tcPr>
          <w:p w14:paraId="2643D255">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4E03A142">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393D69D7">
            <w:pPr>
              <w:autoSpaceDE w:val="0"/>
              <w:autoSpaceDN w:val="0"/>
              <w:adjustRightInd w:val="0"/>
              <w:jc w:val="center"/>
              <w:rPr>
                <w:rFonts w:ascii="仿宋" w:hAnsi="仿宋" w:eastAsia="仿宋" w:cs="仿宋"/>
                <w:color w:val="auto"/>
                <w:sz w:val="24"/>
                <w:highlight w:val="none"/>
                <w:lang w:val="zh-CN"/>
              </w:rPr>
            </w:pPr>
          </w:p>
        </w:tc>
      </w:tr>
      <w:tr w14:paraId="1604BC72">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4DF68678">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w:t>
            </w:r>
          </w:p>
        </w:tc>
        <w:tc>
          <w:tcPr>
            <w:tcW w:w="3291" w:type="dxa"/>
            <w:tcBorders>
              <w:top w:val="single" w:color="auto" w:sz="6" w:space="0"/>
              <w:left w:val="single" w:color="auto" w:sz="6" w:space="0"/>
              <w:bottom w:val="single" w:color="auto" w:sz="6" w:space="0"/>
              <w:right w:val="single" w:color="auto" w:sz="6" w:space="0"/>
            </w:tcBorders>
            <w:vAlign w:val="center"/>
          </w:tcPr>
          <w:p w14:paraId="454BF0A1">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71D90404">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DFDB969">
            <w:pPr>
              <w:autoSpaceDE w:val="0"/>
              <w:autoSpaceDN w:val="0"/>
              <w:adjustRightInd w:val="0"/>
              <w:jc w:val="center"/>
              <w:rPr>
                <w:rFonts w:ascii="仿宋" w:hAnsi="仿宋" w:eastAsia="仿宋" w:cs="仿宋"/>
                <w:color w:val="auto"/>
                <w:sz w:val="24"/>
                <w:highlight w:val="none"/>
                <w:lang w:val="zh-CN"/>
              </w:rPr>
            </w:pPr>
          </w:p>
        </w:tc>
      </w:tr>
      <w:tr w14:paraId="25A3115C">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25F53C79">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w:t>
            </w:r>
          </w:p>
        </w:tc>
        <w:tc>
          <w:tcPr>
            <w:tcW w:w="3291" w:type="dxa"/>
            <w:tcBorders>
              <w:top w:val="single" w:color="auto" w:sz="6" w:space="0"/>
              <w:left w:val="single" w:color="auto" w:sz="6" w:space="0"/>
              <w:bottom w:val="single" w:color="auto" w:sz="6" w:space="0"/>
              <w:right w:val="single" w:color="auto" w:sz="6" w:space="0"/>
            </w:tcBorders>
            <w:vAlign w:val="center"/>
          </w:tcPr>
          <w:p w14:paraId="39F800B3">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07B8EAC">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3B0A034">
            <w:pPr>
              <w:autoSpaceDE w:val="0"/>
              <w:autoSpaceDN w:val="0"/>
              <w:adjustRightInd w:val="0"/>
              <w:jc w:val="center"/>
              <w:rPr>
                <w:rFonts w:ascii="仿宋" w:hAnsi="仿宋" w:eastAsia="仿宋" w:cs="仿宋"/>
                <w:color w:val="auto"/>
                <w:sz w:val="24"/>
                <w:highlight w:val="none"/>
                <w:lang w:val="zh-CN"/>
              </w:rPr>
            </w:pPr>
          </w:p>
        </w:tc>
      </w:tr>
      <w:tr w14:paraId="585594E9">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30AF29D2">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6</w:t>
            </w:r>
          </w:p>
        </w:tc>
        <w:tc>
          <w:tcPr>
            <w:tcW w:w="3291" w:type="dxa"/>
            <w:tcBorders>
              <w:top w:val="single" w:color="auto" w:sz="6" w:space="0"/>
              <w:left w:val="single" w:color="auto" w:sz="6" w:space="0"/>
              <w:bottom w:val="single" w:color="auto" w:sz="6" w:space="0"/>
              <w:right w:val="single" w:color="auto" w:sz="6" w:space="0"/>
            </w:tcBorders>
            <w:vAlign w:val="center"/>
          </w:tcPr>
          <w:p w14:paraId="4EEA4F74">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0FF89814">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11EFAE1A">
            <w:pPr>
              <w:autoSpaceDE w:val="0"/>
              <w:autoSpaceDN w:val="0"/>
              <w:adjustRightInd w:val="0"/>
              <w:jc w:val="center"/>
              <w:rPr>
                <w:rFonts w:ascii="仿宋" w:hAnsi="仿宋" w:eastAsia="仿宋" w:cs="仿宋"/>
                <w:color w:val="auto"/>
                <w:sz w:val="24"/>
                <w:highlight w:val="none"/>
                <w:lang w:val="zh-CN"/>
              </w:rPr>
            </w:pPr>
          </w:p>
        </w:tc>
      </w:tr>
      <w:tr w14:paraId="6B8EE09F">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233B4F7">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7</w:t>
            </w:r>
          </w:p>
        </w:tc>
        <w:tc>
          <w:tcPr>
            <w:tcW w:w="3291" w:type="dxa"/>
            <w:tcBorders>
              <w:top w:val="single" w:color="auto" w:sz="6" w:space="0"/>
              <w:left w:val="single" w:color="auto" w:sz="6" w:space="0"/>
              <w:bottom w:val="single" w:color="auto" w:sz="6" w:space="0"/>
              <w:right w:val="single" w:color="auto" w:sz="6" w:space="0"/>
            </w:tcBorders>
            <w:vAlign w:val="center"/>
          </w:tcPr>
          <w:p w14:paraId="3A114937">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6DECA964">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5A0BA484">
            <w:pPr>
              <w:autoSpaceDE w:val="0"/>
              <w:autoSpaceDN w:val="0"/>
              <w:adjustRightInd w:val="0"/>
              <w:jc w:val="center"/>
              <w:rPr>
                <w:rFonts w:ascii="仿宋" w:hAnsi="仿宋" w:eastAsia="仿宋" w:cs="仿宋"/>
                <w:color w:val="auto"/>
                <w:sz w:val="24"/>
                <w:highlight w:val="none"/>
                <w:lang w:val="zh-CN"/>
              </w:rPr>
            </w:pPr>
          </w:p>
        </w:tc>
      </w:tr>
      <w:tr w14:paraId="1DA1243A">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60FB15D4">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8</w:t>
            </w:r>
          </w:p>
        </w:tc>
        <w:tc>
          <w:tcPr>
            <w:tcW w:w="3291" w:type="dxa"/>
            <w:tcBorders>
              <w:top w:val="single" w:color="auto" w:sz="6" w:space="0"/>
              <w:left w:val="single" w:color="auto" w:sz="6" w:space="0"/>
              <w:bottom w:val="single" w:color="auto" w:sz="6" w:space="0"/>
              <w:right w:val="single" w:color="auto" w:sz="6" w:space="0"/>
            </w:tcBorders>
            <w:vAlign w:val="center"/>
          </w:tcPr>
          <w:p w14:paraId="2F2D7DB7">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162A043">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60674E74">
            <w:pPr>
              <w:autoSpaceDE w:val="0"/>
              <w:autoSpaceDN w:val="0"/>
              <w:adjustRightInd w:val="0"/>
              <w:jc w:val="center"/>
              <w:rPr>
                <w:rFonts w:ascii="仿宋" w:hAnsi="仿宋" w:eastAsia="仿宋" w:cs="仿宋"/>
                <w:color w:val="auto"/>
                <w:sz w:val="24"/>
                <w:highlight w:val="none"/>
                <w:lang w:val="zh-CN"/>
              </w:rPr>
            </w:pPr>
          </w:p>
        </w:tc>
      </w:tr>
      <w:tr w14:paraId="7386EAB3">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59F95662">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9</w:t>
            </w:r>
          </w:p>
        </w:tc>
        <w:tc>
          <w:tcPr>
            <w:tcW w:w="3291" w:type="dxa"/>
            <w:tcBorders>
              <w:top w:val="single" w:color="auto" w:sz="6" w:space="0"/>
              <w:left w:val="single" w:color="auto" w:sz="6" w:space="0"/>
              <w:bottom w:val="single" w:color="auto" w:sz="6" w:space="0"/>
              <w:right w:val="single" w:color="auto" w:sz="6" w:space="0"/>
            </w:tcBorders>
            <w:vAlign w:val="center"/>
          </w:tcPr>
          <w:p w14:paraId="685C7E2A">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510E19A">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431C36A9">
            <w:pPr>
              <w:autoSpaceDE w:val="0"/>
              <w:autoSpaceDN w:val="0"/>
              <w:adjustRightInd w:val="0"/>
              <w:jc w:val="center"/>
              <w:rPr>
                <w:rFonts w:ascii="仿宋" w:hAnsi="仿宋" w:eastAsia="仿宋" w:cs="仿宋"/>
                <w:color w:val="auto"/>
                <w:sz w:val="24"/>
                <w:highlight w:val="none"/>
                <w:lang w:val="zh-CN"/>
              </w:rPr>
            </w:pPr>
          </w:p>
        </w:tc>
      </w:tr>
      <w:tr w14:paraId="5E7D3FCA">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38676ED">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10</w:t>
            </w:r>
          </w:p>
        </w:tc>
        <w:tc>
          <w:tcPr>
            <w:tcW w:w="3291" w:type="dxa"/>
            <w:tcBorders>
              <w:top w:val="single" w:color="auto" w:sz="6" w:space="0"/>
              <w:left w:val="single" w:color="auto" w:sz="6" w:space="0"/>
              <w:bottom w:val="single" w:color="auto" w:sz="6" w:space="0"/>
              <w:right w:val="single" w:color="auto" w:sz="6" w:space="0"/>
            </w:tcBorders>
            <w:vAlign w:val="center"/>
          </w:tcPr>
          <w:p w14:paraId="0D51BEB1">
            <w:pPr>
              <w:autoSpaceDE w:val="0"/>
              <w:autoSpaceDN w:val="0"/>
              <w:adjustRightInd w:val="0"/>
              <w:ind w:firstLine="48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（行数不够，自行添加）</w:t>
            </w:r>
          </w:p>
        </w:tc>
        <w:tc>
          <w:tcPr>
            <w:tcW w:w="3429" w:type="dxa"/>
            <w:tcBorders>
              <w:top w:val="single" w:color="auto" w:sz="6" w:space="0"/>
              <w:left w:val="single" w:color="auto" w:sz="6" w:space="0"/>
              <w:bottom w:val="single" w:color="auto" w:sz="6" w:space="0"/>
              <w:right w:val="single" w:color="auto" w:sz="6" w:space="0"/>
            </w:tcBorders>
            <w:vAlign w:val="center"/>
          </w:tcPr>
          <w:p w14:paraId="53B43176">
            <w:pPr>
              <w:autoSpaceDE w:val="0"/>
              <w:autoSpaceDN w:val="0"/>
              <w:adjustRightInd w:val="0"/>
              <w:ind w:firstLine="480"/>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vAlign w:val="center"/>
          </w:tcPr>
          <w:p w14:paraId="1C0A4B3C">
            <w:pPr>
              <w:autoSpaceDE w:val="0"/>
              <w:autoSpaceDN w:val="0"/>
              <w:adjustRightInd w:val="0"/>
              <w:ind w:firstLine="480"/>
              <w:rPr>
                <w:rFonts w:ascii="仿宋" w:hAnsi="仿宋" w:eastAsia="仿宋" w:cs="仿宋"/>
                <w:color w:val="auto"/>
                <w:sz w:val="24"/>
                <w:highlight w:val="none"/>
                <w:lang w:val="zh-CN"/>
              </w:rPr>
            </w:pPr>
          </w:p>
        </w:tc>
      </w:tr>
    </w:tbl>
    <w:p w14:paraId="26BDD4EB">
      <w:pPr>
        <w:widowControl/>
        <w:adjustRightInd w:val="0"/>
        <w:spacing w:line="360" w:lineRule="auto"/>
        <w:jc w:val="left"/>
        <w:rPr>
          <w:rFonts w:ascii="仿宋" w:hAnsi="仿宋" w:eastAsia="仿宋" w:cs="仿宋"/>
          <w:color w:val="auto"/>
          <w:kern w:val="0"/>
          <w:sz w:val="24"/>
          <w:highlight w:val="none"/>
          <w:lang w:val="zh-CN"/>
        </w:rPr>
      </w:pPr>
    </w:p>
    <w:p w14:paraId="4C848DE8">
      <w:pPr>
        <w:widowControl/>
        <w:adjustRightInd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注：请谈判供应商根据实际情况填写，如果一字不漏照抄谈判文件要求，将作无效谈判处理。</w:t>
      </w:r>
    </w:p>
    <w:p w14:paraId="194CD6FA">
      <w:pPr>
        <w:widowControl/>
        <w:adjustRightInd w:val="0"/>
        <w:spacing w:line="480" w:lineRule="auto"/>
        <w:jc w:val="left"/>
        <w:rPr>
          <w:rFonts w:ascii="仿宋" w:hAnsi="仿宋" w:eastAsia="仿宋" w:cs="仿宋"/>
          <w:color w:val="auto"/>
          <w:kern w:val="0"/>
          <w:sz w:val="24"/>
          <w:highlight w:val="none"/>
          <w:lang w:val="zh-CN"/>
        </w:rPr>
      </w:pPr>
    </w:p>
    <w:p w14:paraId="424FC73E">
      <w:pPr>
        <w:widowControl/>
        <w:adjustRightInd w:val="0"/>
        <w:spacing w:line="480" w:lineRule="auto"/>
        <w:jc w:val="left"/>
        <w:rPr>
          <w:rFonts w:ascii="仿宋" w:hAnsi="仿宋" w:eastAsia="仿宋" w:cs="仿宋"/>
          <w:color w:val="auto"/>
          <w:kern w:val="0"/>
          <w:sz w:val="24"/>
          <w:highlight w:val="none"/>
          <w:lang w:val="zh-CN"/>
        </w:rPr>
      </w:pPr>
    </w:p>
    <w:p w14:paraId="1E7DA07F">
      <w:pPr>
        <w:widowControl/>
        <w:adjustRightInd w:val="0"/>
        <w:spacing w:line="72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493D2FA3">
      <w:pPr>
        <w:widowControl/>
        <w:adjustRightInd w:val="0"/>
        <w:spacing w:line="72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6FE385D9">
      <w:pPr>
        <w:widowControl/>
        <w:adjustRightInd w:val="0"/>
        <w:spacing w:line="72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日期：    年    月    日</w:t>
      </w:r>
    </w:p>
    <w:p w14:paraId="1D595C46">
      <w:pPr>
        <w:widowControl/>
        <w:shd w:val="clear" w:color="auto" w:fill="FFFFFF"/>
        <w:spacing w:line="360" w:lineRule="auto"/>
        <w:ind w:firstLine="562"/>
        <w:outlineLvl w:val="1"/>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八、技术条款偏离表</w:t>
      </w:r>
    </w:p>
    <w:p w14:paraId="18251F9B">
      <w:pPr>
        <w:widowControl/>
        <w:shd w:val="clear" w:color="auto" w:fill="FFFFFF"/>
        <w:spacing w:line="360" w:lineRule="auto"/>
        <w:ind w:left="420"/>
        <w:jc w:val="center"/>
        <w:rPr>
          <w:rFonts w:ascii="仿宋" w:hAnsi="仿宋" w:eastAsia="仿宋" w:cs="仿宋"/>
          <w:b/>
          <w:color w:val="auto"/>
          <w:kern w:val="0"/>
          <w:sz w:val="28"/>
          <w:szCs w:val="22"/>
          <w:highlight w:val="none"/>
        </w:rPr>
      </w:pPr>
      <w:r>
        <w:rPr>
          <w:rFonts w:hint="eastAsia" w:ascii="仿宋" w:hAnsi="仿宋" w:eastAsia="仿宋" w:cs="仿宋"/>
          <w:b/>
          <w:color w:val="auto"/>
          <w:kern w:val="0"/>
          <w:sz w:val="28"/>
          <w:szCs w:val="28"/>
          <w:highlight w:val="none"/>
        </w:rPr>
        <w:t>技术条款偏离表</w:t>
      </w:r>
    </w:p>
    <w:p w14:paraId="5A78AC24">
      <w:pPr>
        <w:widowControl/>
        <w:shd w:val="clear" w:color="auto" w:fill="FFFFFF"/>
        <w:spacing w:line="360" w:lineRule="auto"/>
        <w:rPr>
          <w:rFonts w:ascii="仿宋" w:hAnsi="仿宋" w:eastAsia="仿宋" w:cs="仿宋"/>
          <w:bCs/>
          <w:color w:val="auto"/>
          <w:kern w:val="0"/>
          <w:sz w:val="24"/>
          <w:highlight w:val="none"/>
          <w:u w:val="single"/>
        </w:rPr>
      </w:pPr>
      <w:r>
        <w:rPr>
          <w:rFonts w:hint="eastAsia" w:ascii="仿宋" w:hAnsi="仿宋" w:eastAsia="仿宋" w:cs="仿宋"/>
          <w:color w:val="auto"/>
          <w:kern w:val="0"/>
          <w:sz w:val="24"/>
          <w:highlight w:val="none"/>
        </w:rPr>
        <w:t xml:space="preserve">项目名称：                 </w:t>
      </w:r>
      <w:r>
        <w:rPr>
          <w:rFonts w:hint="eastAsia" w:ascii="仿宋" w:hAnsi="仿宋" w:eastAsia="仿宋" w:cs="仿宋"/>
          <w:bCs/>
          <w:color w:val="auto"/>
          <w:kern w:val="0"/>
          <w:sz w:val="24"/>
          <w:highlight w:val="none"/>
        </w:rPr>
        <w:t xml:space="preserve">                        项目编号：</w:t>
      </w:r>
    </w:p>
    <w:tbl>
      <w:tblPr>
        <w:tblStyle w:val="42"/>
        <w:tblW w:w="9210" w:type="dxa"/>
        <w:jc w:val="center"/>
        <w:tblLayout w:type="fixed"/>
        <w:tblCellMar>
          <w:top w:w="0" w:type="dxa"/>
          <w:left w:w="10" w:type="dxa"/>
          <w:bottom w:w="0" w:type="dxa"/>
          <w:right w:w="10" w:type="dxa"/>
        </w:tblCellMar>
      </w:tblPr>
      <w:tblGrid>
        <w:gridCol w:w="1225"/>
        <w:gridCol w:w="3291"/>
        <w:gridCol w:w="3429"/>
        <w:gridCol w:w="1265"/>
      </w:tblGrid>
      <w:tr w14:paraId="72910272">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7B482413">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序号</w:t>
            </w:r>
          </w:p>
        </w:tc>
        <w:tc>
          <w:tcPr>
            <w:tcW w:w="3291" w:type="dxa"/>
            <w:tcBorders>
              <w:top w:val="single" w:color="auto" w:sz="6" w:space="0"/>
              <w:left w:val="single" w:color="auto" w:sz="6" w:space="0"/>
              <w:bottom w:val="single" w:color="auto" w:sz="6" w:space="0"/>
              <w:right w:val="single" w:color="auto" w:sz="6" w:space="0"/>
            </w:tcBorders>
            <w:vAlign w:val="center"/>
          </w:tcPr>
          <w:p w14:paraId="0FFE69C3">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谈判文件的</w:t>
            </w:r>
            <w:r>
              <w:rPr>
                <w:rFonts w:hint="eastAsia" w:ascii="仿宋" w:hAnsi="仿宋" w:eastAsia="仿宋" w:cs="仿宋"/>
                <w:color w:val="auto"/>
                <w:kern w:val="0"/>
                <w:sz w:val="24"/>
                <w:highlight w:val="none"/>
              </w:rPr>
              <w:t>技术</w:t>
            </w:r>
            <w:r>
              <w:rPr>
                <w:rFonts w:hint="eastAsia" w:ascii="仿宋" w:hAnsi="仿宋" w:eastAsia="仿宋" w:cs="仿宋"/>
                <w:color w:val="auto"/>
                <w:sz w:val="24"/>
                <w:highlight w:val="none"/>
                <w:lang w:val="zh-CN"/>
              </w:rPr>
              <w:t>条款</w:t>
            </w:r>
          </w:p>
        </w:tc>
        <w:tc>
          <w:tcPr>
            <w:tcW w:w="3429" w:type="dxa"/>
            <w:tcBorders>
              <w:top w:val="single" w:color="auto" w:sz="6" w:space="0"/>
              <w:left w:val="single" w:color="auto" w:sz="6" w:space="0"/>
              <w:bottom w:val="single" w:color="auto" w:sz="6" w:space="0"/>
              <w:right w:val="single" w:color="auto" w:sz="6" w:space="0"/>
            </w:tcBorders>
            <w:vAlign w:val="center"/>
          </w:tcPr>
          <w:p w14:paraId="0C9840CE">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响应文件的</w:t>
            </w:r>
            <w:r>
              <w:rPr>
                <w:rFonts w:hint="eastAsia" w:ascii="仿宋" w:hAnsi="仿宋" w:eastAsia="仿宋" w:cs="仿宋"/>
                <w:color w:val="auto"/>
                <w:kern w:val="0"/>
                <w:sz w:val="24"/>
                <w:highlight w:val="none"/>
              </w:rPr>
              <w:t>技术</w:t>
            </w:r>
            <w:r>
              <w:rPr>
                <w:rFonts w:hint="eastAsia" w:ascii="仿宋" w:hAnsi="仿宋" w:eastAsia="仿宋" w:cs="仿宋"/>
                <w:color w:val="auto"/>
                <w:sz w:val="24"/>
                <w:highlight w:val="none"/>
                <w:lang w:val="zh-CN"/>
              </w:rPr>
              <w:t>条款</w:t>
            </w:r>
          </w:p>
        </w:tc>
        <w:tc>
          <w:tcPr>
            <w:tcW w:w="1265" w:type="dxa"/>
            <w:tcBorders>
              <w:top w:val="single" w:color="auto" w:sz="6" w:space="0"/>
              <w:left w:val="single" w:color="auto" w:sz="6" w:space="0"/>
              <w:bottom w:val="single" w:color="auto" w:sz="6" w:space="0"/>
              <w:right w:val="single" w:color="auto" w:sz="6" w:space="0"/>
            </w:tcBorders>
            <w:vAlign w:val="center"/>
          </w:tcPr>
          <w:p w14:paraId="07F0D137">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说明</w:t>
            </w:r>
          </w:p>
        </w:tc>
      </w:tr>
      <w:tr w14:paraId="0ED194BE">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3BCDEF72">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p>
        </w:tc>
        <w:tc>
          <w:tcPr>
            <w:tcW w:w="3291" w:type="dxa"/>
            <w:tcBorders>
              <w:top w:val="single" w:color="auto" w:sz="6" w:space="0"/>
              <w:left w:val="single" w:color="auto" w:sz="6" w:space="0"/>
              <w:bottom w:val="single" w:color="auto" w:sz="6" w:space="0"/>
              <w:right w:val="single" w:color="auto" w:sz="6" w:space="0"/>
            </w:tcBorders>
            <w:vAlign w:val="center"/>
          </w:tcPr>
          <w:p w14:paraId="52A2D1F4">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BC26B45">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01ECA38F">
            <w:pPr>
              <w:autoSpaceDE w:val="0"/>
              <w:autoSpaceDN w:val="0"/>
              <w:adjustRightInd w:val="0"/>
              <w:jc w:val="center"/>
              <w:rPr>
                <w:rFonts w:ascii="仿宋" w:hAnsi="仿宋" w:eastAsia="仿宋" w:cs="仿宋"/>
                <w:color w:val="auto"/>
                <w:sz w:val="24"/>
                <w:highlight w:val="none"/>
                <w:lang w:val="zh-CN"/>
              </w:rPr>
            </w:pPr>
          </w:p>
        </w:tc>
      </w:tr>
      <w:tr w14:paraId="74872ABC">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B4C2E7B">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p>
        </w:tc>
        <w:tc>
          <w:tcPr>
            <w:tcW w:w="3291" w:type="dxa"/>
            <w:tcBorders>
              <w:top w:val="single" w:color="auto" w:sz="6" w:space="0"/>
              <w:left w:val="single" w:color="auto" w:sz="6" w:space="0"/>
              <w:bottom w:val="single" w:color="auto" w:sz="6" w:space="0"/>
              <w:right w:val="single" w:color="auto" w:sz="6" w:space="0"/>
            </w:tcBorders>
            <w:vAlign w:val="center"/>
          </w:tcPr>
          <w:p w14:paraId="0377EAD8">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ED35F52">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47714938">
            <w:pPr>
              <w:autoSpaceDE w:val="0"/>
              <w:autoSpaceDN w:val="0"/>
              <w:adjustRightInd w:val="0"/>
              <w:jc w:val="center"/>
              <w:rPr>
                <w:rFonts w:ascii="仿宋" w:hAnsi="仿宋" w:eastAsia="仿宋" w:cs="仿宋"/>
                <w:color w:val="auto"/>
                <w:sz w:val="24"/>
                <w:highlight w:val="none"/>
                <w:lang w:val="zh-CN"/>
              </w:rPr>
            </w:pPr>
          </w:p>
        </w:tc>
      </w:tr>
      <w:tr w14:paraId="58D8F858">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41859CD0">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w:t>
            </w:r>
          </w:p>
        </w:tc>
        <w:tc>
          <w:tcPr>
            <w:tcW w:w="3291" w:type="dxa"/>
            <w:tcBorders>
              <w:top w:val="single" w:color="auto" w:sz="6" w:space="0"/>
              <w:left w:val="single" w:color="auto" w:sz="6" w:space="0"/>
              <w:bottom w:val="single" w:color="auto" w:sz="6" w:space="0"/>
              <w:right w:val="single" w:color="auto" w:sz="6" w:space="0"/>
            </w:tcBorders>
            <w:vAlign w:val="center"/>
          </w:tcPr>
          <w:p w14:paraId="7E2960E9">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086A9701">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44F80A7A">
            <w:pPr>
              <w:autoSpaceDE w:val="0"/>
              <w:autoSpaceDN w:val="0"/>
              <w:adjustRightInd w:val="0"/>
              <w:jc w:val="center"/>
              <w:rPr>
                <w:rFonts w:ascii="仿宋" w:hAnsi="仿宋" w:eastAsia="仿宋" w:cs="仿宋"/>
                <w:color w:val="auto"/>
                <w:sz w:val="24"/>
                <w:highlight w:val="none"/>
                <w:lang w:val="zh-CN"/>
              </w:rPr>
            </w:pPr>
          </w:p>
        </w:tc>
      </w:tr>
      <w:tr w14:paraId="17843937">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5E02E871">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w:t>
            </w:r>
          </w:p>
        </w:tc>
        <w:tc>
          <w:tcPr>
            <w:tcW w:w="3291" w:type="dxa"/>
            <w:tcBorders>
              <w:top w:val="single" w:color="auto" w:sz="6" w:space="0"/>
              <w:left w:val="single" w:color="auto" w:sz="6" w:space="0"/>
              <w:bottom w:val="single" w:color="auto" w:sz="6" w:space="0"/>
              <w:right w:val="single" w:color="auto" w:sz="6" w:space="0"/>
            </w:tcBorders>
            <w:vAlign w:val="center"/>
          </w:tcPr>
          <w:p w14:paraId="2F606F95">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619E3A45">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4A137FDB">
            <w:pPr>
              <w:autoSpaceDE w:val="0"/>
              <w:autoSpaceDN w:val="0"/>
              <w:adjustRightInd w:val="0"/>
              <w:jc w:val="center"/>
              <w:rPr>
                <w:rFonts w:ascii="仿宋" w:hAnsi="仿宋" w:eastAsia="仿宋" w:cs="仿宋"/>
                <w:color w:val="auto"/>
                <w:sz w:val="24"/>
                <w:highlight w:val="none"/>
                <w:lang w:val="zh-CN"/>
              </w:rPr>
            </w:pPr>
          </w:p>
        </w:tc>
      </w:tr>
      <w:tr w14:paraId="6FB313DD">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7ABE7681">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w:t>
            </w:r>
          </w:p>
        </w:tc>
        <w:tc>
          <w:tcPr>
            <w:tcW w:w="3291" w:type="dxa"/>
            <w:tcBorders>
              <w:top w:val="single" w:color="auto" w:sz="6" w:space="0"/>
              <w:left w:val="single" w:color="auto" w:sz="6" w:space="0"/>
              <w:bottom w:val="single" w:color="auto" w:sz="6" w:space="0"/>
              <w:right w:val="single" w:color="auto" w:sz="6" w:space="0"/>
            </w:tcBorders>
            <w:vAlign w:val="center"/>
          </w:tcPr>
          <w:p w14:paraId="09761F5F">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21E048B5">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165BE083">
            <w:pPr>
              <w:autoSpaceDE w:val="0"/>
              <w:autoSpaceDN w:val="0"/>
              <w:adjustRightInd w:val="0"/>
              <w:jc w:val="center"/>
              <w:rPr>
                <w:rFonts w:ascii="仿宋" w:hAnsi="仿宋" w:eastAsia="仿宋" w:cs="仿宋"/>
                <w:color w:val="auto"/>
                <w:sz w:val="24"/>
                <w:highlight w:val="none"/>
                <w:lang w:val="zh-CN"/>
              </w:rPr>
            </w:pPr>
          </w:p>
        </w:tc>
      </w:tr>
      <w:tr w14:paraId="5668D79E">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4B0934A">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6</w:t>
            </w:r>
          </w:p>
        </w:tc>
        <w:tc>
          <w:tcPr>
            <w:tcW w:w="3291" w:type="dxa"/>
            <w:tcBorders>
              <w:top w:val="single" w:color="auto" w:sz="6" w:space="0"/>
              <w:left w:val="single" w:color="auto" w:sz="6" w:space="0"/>
              <w:bottom w:val="single" w:color="auto" w:sz="6" w:space="0"/>
              <w:right w:val="single" w:color="auto" w:sz="6" w:space="0"/>
            </w:tcBorders>
            <w:vAlign w:val="center"/>
          </w:tcPr>
          <w:p w14:paraId="34F0A2D6">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2CD94C7C">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19D57E56">
            <w:pPr>
              <w:autoSpaceDE w:val="0"/>
              <w:autoSpaceDN w:val="0"/>
              <w:adjustRightInd w:val="0"/>
              <w:jc w:val="center"/>
              <w:rPr>
                <w:rFonts w:ascii="仿宋" w:hAnsi="仿宋" w:eastAsia="仿宋" w:cs="仿宋"/>
                <w:color w:val="auto"/>
                <w:sz w:val="24"/>
                <w:highlight w:val="none"/>
                <w:lang w:val="zh-CN"/>
              </w:rPr>
            </w:pPr>
          </w:p>
        </w:tc>
      </w:tr>
      <w:tr w14:paraId="4159FB64">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DB51526">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7</w:t>
            </w:r>
          </w:p>
        </w:tc>
        <w:tc>
          <w:tcPr>
            <w:tcW w:w="3291" w:type="dxa"/>
            <w:tcBorders>
              <w:top w:val="single" w:color="auto" w:sz="6" w:space="0"/>
              <w:left w:val="single" w:color="auto" w:sz="6" w:space="0"/>
              <w:bottom w:val="single" w:color="auto" w:sz="6" w:space="0"/>
              <w:right w:val="single" w:color="auto" w:sz="6" w:space="0"/>
            </w:tcBorders>
            <w:vAlign w:val="center"/>
          </w:tcPr>
          <w:p w14:paraId="3C8F6C27">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19FEDB4A">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73405CB3">
            <w:pPr>
              <w:autoSpaceDE w:val="0"/>
              <w:autoSpaceDN w:val="0"/>
              <w:adjustRightInd w:val="0"/>
              <w:jc w:val="center"/>
              <w:rPr>
                <w:rFonts w:ascii="仿宋" w:hAnsi="仿宋" w:eastAsia="仿宋" w:cs="仿宋"/>
                <w:color w:val="auto"/>
                <w:sz w:val="24"/>
                <w:highlight w:val="none"/>
                <w:lang w:val="zh-CN"/>
              </w:rPr>
            </w:pPr>
          </w:p>
        </w:tc>
      </w:tr>
      <w:tr w14:paraId="2FE1AE32">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4689A29F">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8</w:t>
            </w:r>
          </w:p>
        </w:tc>
        <w:tc>
          <w:tcPr>
            <w:tcW w:w="3291" w:type="dxa"/>
            <w:tcBorders>
              <w:top w:val="single" w:color="auto" w:sz="6" w:space="0"/>
              <w:left w:val="single" w:color="auto" w:sz="6" w:space="0"/>
              <w:bottom w:val="single" w:color="auto" w:sz="6" w:space="0"/>
              <w:right w:val="single" w:color="auto" w:sz="6" w:space="0"/>
            </w:tcBorders>
            <w:vAlign w:val="center"/>
          </w:tcPr>
          <w:p w14:paraId="2A08F96C">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11CB34CF">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A297E41">
            <w:pPr>
              <w:autoSpaceDE w:val="0"/>
              <w:autoSpaceDN w:val="0"/>
              <w:adjustRightInd w:val="0"/>
              <w:jc w:val="center"/>
              <w:rPr>
                <w:rFonts w:ascii="仿宋" w:hAnsi="仿宋" w:eastAsia="仿宋" w:cs="仿宋"/>
                <w:color w:val="auto"/>
                <w:sz w:val="24"/>
                <w:highlight w:val="none"/>
                <w:lang w:val="zh-CN"/>
              </w:rPr>
            </w:pPr>
          </w:p>
        </w:tc>
      </w:tr>
      <w:tr w14:paraId="103DC8ED">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7F625866">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9</w:t>
            </w:r>
          </w:p>
        </w:tc>
        <w:tc>
          <w:tcPr>
            <w:tcW w:w="3291" w:type="dxa"/>
            <w:tcBorders>
              <w:top w:val="single" w:color="auto" w:sz="6" w:space="0"/>
              <w:left w:val="single" w:color="auto" w:sz="6" w:space="0"/>
              <w:bottom w:val="single" w:color="auto" w:sz="6" w:space="0"/>
              <w:right w:val="single" w:color="auto" w:sz="6" w:space="0"/>
            </w:tcBorders>
            <w:vAlign w:val="center"/>
          </w:tcPr>
          <w:p w14:paraId="5EA9013E">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0C60895">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1F65B478">
            <w:pPr>
              <w:autoSpaceDE w:val="0"/>
              <w:autoSpaceDN w:val="0"/>
              <w:adjustRightInd w:val="0"/>
              <w:jc w:val="center"/>
              <w:rPr>
                <w:rFonts w:ascii="仿宋" w:hAnsi="仿宋" w:eastAsia="仿宋" w:cs="仿宋"/>
                <w:color w:val="auto"/>
                <w:sz w:val="24"/>
                <w:highlight w:val="none"/>
                <w:lang w:val="zh-CN"/>
              </w:rPr>
            </w:pPr>
          </w:p>
        </w:tc>
      </w:tr>
      <w:tr w14:paraId="30506B83">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B94136A">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10</w:t>
            </w:r>
          </w:p>
        </w:tc>
        <w:tc>
          <w:tcPr>
            <w:tcW w:w="3291" w:type="dxa"/>
            <w:tcBorders>
              <w:top w:val="single" w:color="auto" w:sz="6" w:space="0"/>
              <w:left w:val="single" w:color="auto" w:sz="6" w:space="0"/>
              <w:bottom w:val="single" w:color="auto" w:sz="6" w:space="0"/>
              <w:right w:val="single" w:color="auto" w:sz="6" w:space="0"/>
            </w:tcBorders>
            <w:vAlign w:val="center"/>
          </w:tcPr>
          <w:p w14:paraId="070CED3E">
            <w:pPr>
              <w:autoSpaceDE w:val="0"/>
              <w:autoSpaceDN w:val="0"/>
              <w:adjustRightInd w:val="0"/>
              <w:ind w:firstLine="48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（行数不够，自行添加）</w:t>
            </w:r>
          </w:p>
        </w:tc>
        <w:tc>
          <w:tcPr>
            <w:tcW w:w="3429" w:type="dxa"/>
            <w:tcBorders>
              <w:top w:val="single" w:color="auto" w:sz="6" w:space="0"/>
              <w:left w:val="single" w:color="auto" w:sz="6" w:space="0"/>
              <w:bottom w:val="single" w:color="auto" w:sz="6" w:space="0"/>
              <w:right w:val="single" w:color="auto" w:sz="6" w:space="0"/>
            </w:tcBorders>
            <w:vAlign w:val="center"/>
          </w:tcPr>
          <w:p w14:paraId="4814FACF">
            <w:pPr>
              <w:autoSpaceDE w:val="0"/>
              <w:autoSpaceDN w:val="0"/>
              <w:adjustRightInd w:val="0"/>
              <w:ind w:firstLine="480"/>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vAlign w:val="center"/>
          </w:tcPr>
          <w:p w14:paraId="0D3B7812">
            <w:pPr>
              <w:autoSpaceDE w:val="0"/>
              <w:autoSpaceDN w:val="0"/>
              <w:adjustRightInd w:val="0"/>
              <w:ind w:firstLine="480"/>
              <w:rPr>
                <w:rFonts w:ascii="仿宋" w:hAnsi="仿宋" w:eastAsia="仿宋" w:cs="仿宋"/>
                <w:color w:val="auto"/>
                <w:sz w:val="24"/>
                <w:highlight w:val="none"/>
                <w:lang w:val="zh-CN"/>
              </w:rPr>
            </w:pPr>
          </w:p>
        </w:tc>
      </w:tr>
    </w:tbl>
    <w:p w14:paraId="33E93A89">
      <w:pPr>
        <w:widowControl/>
        <w:adjustRightInd w:val="0"/>
        <w:spacing w:line="360" w:lineRule="auto"/>
        <w:jc w:val="left"/>
        <w:rPr>
          <w:rFonts w:ascii="仿宋" w:hAnsi="仿宋" w:eastAsia="仿宋" w:cs="仿宋"/>
          <w:color w:val="auto"/>
          <w:kern w:val="0"/>
          <w:sz w:val="24"/>
          <w:highlight w:val="none"/>
          <w:lang w:val="zh-CN"/>
        </w:rPr>
      </w:pPr>
    </w:p>
    <w:p w14:paraId="045DF6B1">
      <w:pPr>
        <w:widowControl/>
        <w:adjustRightInd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注：请谈判供应商根据实际情况填写，如果一字不漏照抄谈判文件要求，将作无效谈判处理。</w:t>
      </w:r>
    </w:p>
    <w:p w14:paraId="618FC684">
      <w:pPr>
        <w:widowControl/>
        <w:adjustRightInd w:val="0"/>
        <w:spacing w:line="360" w:lineRule="auto"/>
        <w:jc w:val="left"/>
        <w:rPr>
          <w:rFonts w:ascii="仿宋" w:hAnsi="仿宋" w:eastAsia="仿宋" w:cs="仿宋"/>
          <w:color w:val="auto"/>
          <w:kern w:val="0"/>
          <w:sz w:val="24"/>
          <w:highlight w:val="none"/>
          <w:lang w:val="zh-CN"/>
        </w:rPr>
      </w:pPr>
    </w:p>
    <w:p w14:paraId="6CB75D29">
      <w:pPr>
        <w:widowControl/>
        <w:adjustRightInd w:val="0"/>
        <w:spacing w:line="360" w:lineRule="auto"/>
        <w:jc w:val="left"/>
        <w:rPr>
          <w:rFonts w:ascii="仿宋" w:hAnsi="仿宋" w:eastAsia="仿宋" w:cs="仿宋"/>
          <w:color w:val="auto"/>
          <w:kern w:val="0"/>
          <w:sz w:val="24"/>
          <w:highlight w:val="none"/>
          <w:lang w:val="zh-CN"/>
        </w:rPr>
      </w:pPr>
    </w:p>
    <w:p w14:paraId="47890881">
      <w:pPr>
        <w:widowControl/>
        <w:adjustRightInd w:val="0"/>
        <w:spacing w:line="72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3B6A184C">
      <w:pPr>
        <w:widowControl/>
        <w:adjustRightInd w:val="0"/>
        <w:spacing w:line="72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442BD172">
      <w:pPr>
        <w:widowControl/>
        <w:adjustRightInd w:val="0"/>
        <w:spacing w:line="720" w:lineRule="auto"/>
        <w:jc w:val="left"/>
        <w:rPr>
          <w:rFonts w:ascii="仿宋" w:hAnsi="仿宋" w:eastAsia="仿宋" w:cs="仿宋"/>
          <w:b/>
          <w:bCs/>
          <w:color w:val="auto"/>
          <w:kern w:val="0"/>
          <w:szCs w:val="21"/>
          <w:highlight w:val="none"/>
        </w:rPr>
      </w:pPr>
      <w:r>
        <w:rPr>
          <w:rFonts w:hint="eastAsia" w:ascii="仿宋" w:hAnsi="仿宋" w:eastAsia="仿宋" w:cs="仿宋"/>
          <w:color w:val="auto"/>
          <w:kern w:val="0"/>
          <w:sz w:val="24"/>
          <w:highlight w:val="none"/>
        </w:rPr>
        <w:t>日期：    年    月    日</w:t>
      </w:r>
    </w:p>
    <w:p w14:paraId="0E63FF9C">
      <w:pPr>
        <w:ind w:firstLine="562"/>
        <w:outlineLvl w:val="1"/>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九、施工服务方案</w:t>
      </w:r>
    </w:p>
    <w:p w14:paraId="7B71A999">
      <w:pPr>
        <w:widowControl/>
        <w:adjustRightInd w:val="0"/>
        <w:spacing w:line="360" w:lineRule="auto"/>
        <w:ind w:firstLine="482"/>
        <w:jc w:val="center"/>
        <w:rPr>
          <w:rFonts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（格式自拟）</w:t>
      </w:r>
    </w:p>
    <w:p w14:paraId="44B3E6F9">
      <w:pPr>
        <w:spacing w:line="360" w:lineRule="auto"/>
        <w:ind w:firstLine="562"/>
        <w:rPr>
          <w:rFonts w:ascii="仿宋" w:hAnsi="仿宋" w:eastAsia="仿宋" w:cs="仿宋"/>
          <w:b/>
          <w:color w:val="auto"/>
          <w:sz w:val="28"/>
          <w:szCs w:val="28"/>
          <w:highlight w:val="none"/>
        </w:rPr>
      </w:pPr>
    </w:p>
    <w:p w14:paraId="2C6AF5FE">
      <w:pPr>
        <w:spacing w:line="360" w:lineRule="auto"/>
        <w:ind w:firstLine="562"/>
        <w:outlineLvl w:val="1"/>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十、经营业绩情况一览表</w:t>
      </w:r>
    </w:p>
    <w:p w14:paraId="339E267B">
      <w:pPr>
        <w:autoSpaceDE w:val="0"/>
        <w:autoSpaceDN w:val="0"/>
        <w:adjustRightInd w:val="0"/>
        <w:spacing w:line="360" w:lineRule="auto"/>
        <w:jc w:val="center"/>
        <w:rPr>
          <w:rFonts w:ascii="仿宋" w:hAnsi="仿宋" w:eastAsia="仿宋" w:cs="仿宋"/>
          <w:b/>
          <w:color w:val="auto"/>
          <w:sz w:val="28"/>
          <w:szCs w:val="28"/>
          <w:highlight w:val="none"/>
          <w:lang w:val="zh-CN"/>
        </w:rPr>
      </w:pPr>
      <w:r>
        <w:rPr>
          <w:rFonts w:hint="eastAsia" w:ascii="仿宋" w:hAnsi="仿宋" w:eastAsia="仿宋" w:cs="仿宋"/>
          <w:b/>
          <w:color w:val="auto"/>
          <w:sz w:val="28"/>
          <w:szCs w:val="28"/>
          <w:highlight w:val="none"/>
          <w:lang w:val="zh-CN"/>
        </w:rPr>
        <w:t>经营业绩情况一览表</w:t>
      </w:r>
    </w:p>
    <w:tbl>
      <w:tblPr>
        <w:tblStyle w:val="42"/>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405"/>
        <w:gridCol w:w="2405"/>
        <w:gridCol w:w="2405"/>
      </w:tblGrid>
      <w:tr w14:paraId="1ACF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08411F28">
            <w:pPr>
              <w:autoSpaceDE w:val="0"/>
              <w:autoSpaceDN w:val="0"/>
              <w:adjustRightInd w:val="0"/>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项目名称</w:t>
            </w:r>
          </w:p>
        </w:tc>
        <w:tc>
          <w:tcPr>
            <w:tcW w:w="2405" w:type="dxa"/>
            <w:vAlign w:val="center"/>
          </w:tcPr>
          <w:p w14:paraId="6BF288F8">
            <w:pPr>
              <w:autoSpaceDE w:val="0"/>
              <w:autoSpaceDN w:val="0"/>
              <w:adjustRightInd w:val="0"/>
              <w:jc w:val="center"/>
              <w:rPr>
                <w:rFonts w:ascii="仿宋" w:hAnsi="仿宋" w:eastAsia="仿宋" w:cs="仿宋"/>
                <w:bCs/>
                <w:color w:val="auto"/>
                <w:sz w:val="24"/>
                <w:highlight w:val="none"/>
                <w:lang w:val="zh-CN"/>
              </w:rPr>
            </w:pPr>
            <w:r>
              <w:rPr>
                <w:rFonts w:hint="eastAsia" w:ascii="仿宋" w:hAnsi="仿宋" w:eastAsia="仿宋" w:cs="仿宋"/>
                <w:bCs/>
                <w:color w:val="auto"/>
                <w:sz w:val="24"/>
                <w:highlight w:val="none"/>
                <w:lang w:val="zh-CN"/>
              </w:rPr>
              <w:t>委托方</w:t>
            </w:r>
          </w:p>
        </w:tc>
        <w:tc>
          <w:tcPr>
            <w:tcW w:w="2405" w:type="dxa"/>
            <w:vAlign w:val="center"/>
          </w:tcPr>
          <w:p w14:paraId="48420D4B">
            <w:pPr>
              <w:autoSpaceDE w:val="0"/>
              <w:autoSpaceDN w:val="0"/>
              <w:adjustRightInd w:val="0"/>
              <w:jc w:val="center"/>
              <w:rPr>
                <w:rFonts w:ascii="仿宋" w:hAnsi="仿宋" w:eastAsia="仿宋" w:cs="仿宋"/>
                <w:bCs/>
                <w:color w:val="auto"/>
                <w:sz w:val="24"/>
                <w:highlight w:val="none"/>
                <w:lang w:val="zh-CN"/>
              </w:rPr>
            </w:pPr>
            <w:r>
              <w:rPr>
                <w:rFonts w:hint="eastAsia" w:ascii="仿宋" w:hAnsi="仿宋" w:eastAsia="仿宋" w:cs="仿宋"/>
                <w:bCs/>
                <w:color w:val="auto"/>
                <w:sz w:val="24"/>
                <w:highlight w:val="none"/>
                <w:lang w:val="zh-CN"/>
              </w:rPr>
              <w:t>合同金额</w:t>
            </w:r>
          </w:p>
        </w:tc>
        <w:tc>
          <w:tcPr>
            <w:tcW w:w="2405" w:type="dxa"/>
            <w:vAlign w:val="center"/>
          </w:tcPr>
          <w:p w14:paraId="666B5FD9">
            <w:pPr>
              <w:autoSpaceDE w:val="0"/>
              <w:autoSpaceDN w:val="0"/>
              <w:adjustRightInd w:val="0"/>
              <w:jc w:val="center"/>
              <w:rPr>
                <w:rFonts w:ascii="仿宋" w:hAnsi="仿宋" w:eastAsia="仿宋" w:cs="仿宋"/>
                <w:bCs/>
                <w:color w:val="auto"/>
                <w:sz w:val="24"/>
                <w:highlight w:val="none"/>
                <w:lang w:val="zh-CN"/>
              </w:rPr>
            </w:pPr>
            <w:r>
              <w:rPr>
                <w:rFonts w:hint="eastAsia" w:ascii="仿宋" w:hAnsi="仿宋" w:eastAsia="仿宋" w:cs="仿宋"/>
                <w:bCs/>
                <w:color w:val="auto"/>
                <w:sz w:val="24"/>
                <w:highlight w:val="none"/>
                <w:lang w:val="zh-CN"/>
              </w:rPr>
              <w:t>合同签订时间</w:t>
            </w:r>
          </w:p>
        </w:tc>
      </w:tr>
      <w:tr w14:paraId="5BD6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4242CF64">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0BAFF9A1">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623BC16D">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6860A407">
            <w:pPr>
              <w:autoSpaceDE w:val="0"/>
              <w:autoSpaceDN w:val="0"/>
              <w:adjustRightInd w:val="0"/>
              <w:ind w:firstLine="482"/>
              <w:rPr>
                <w:rFonts w:ascii="仿宋" w:hAnsi="仿宋" w:eastAsia="仿宋" w:cs="仿宋"/>
                <w:b/>
                <w:color w:val="auto"/>
                <w:sz w:val="24"/>
                <w:highlight w:val="none"/>
                <w:lang w:val="zh-CN"/>
              </w:rPr>
            </w:pPr>
          </w:p>
        </w:tc>
      </w:tr>
      <w:tr w14:paraId="78F6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57BF7207">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0EDBCC38">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2AB75960">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71E86EB6">
            <w:pPr>
              <w:autoSpaceDE w:val="0"/>
              <w:autoSpaceDN w:val="0"/>
              <w:adjustRightInd w:val="0"/>
              <w:ind w:firstLine="482"/>
              <w:rPr>
                <w:rFonts w:ascii="仿宋" w:hAnsi="仿宋" w:eastAsia="仿宋" w:cs="仿宋"/>
                <w:b/>
                <w:color w:val="auto"/>
                <w:sz w:val="24"/>
                <w:highlight w:val="none"/>
                <w:lang w:val="zh-CN"/>
              </w:rPr>
            </w:pPr>
          </w:p>
        </w:tc>
      </w:tr>
      <w:tr w14:paraId="25A7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75617145">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3BFFA171">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4C6B9C90">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4DE7DB8E">
            <w:pPr>
              <w:autoSpaceDE w:val="0"/>
              <w:autoSpaceDN w:val="0"/>
              <w:adjustRightInd w:val="0"/>
              <w:ind w:firstLine="482"/>
              <w:rPr>
                <w:rFonts w:ascii="仿宋" w:hAnsi="仿宋" w:eastAsia="仿宋" w:cs="仿宋"/>
                <w:b/>
                <w:color w:val="auto"/>
                <w:sz w:val="24"/>
                <w:highlight w:val="none"/>
                <w:lang w:val="zh-CN"/>
              </w:rPr>
            </w:pPr>
          </w:p>
        </w:tc>
      </w:tr>
      <w:tr w14:paraId="49B3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194BFA47">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70322E5E">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2FA5016D">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7888A044">
            <w:pPr>
              <w:autoSpaceDE w:val="0"/>
              <w:autoSpaceDN w:val="0"/>
              <w:adjustRightInd w:val="0"/>
              <w:ind w:firstLine="482"/>
              <w:rPr>
                <w:rFonts w:ascii="仿宋" w:hAnsi="仿宋" w:eastAsia="仿宋" w:cs="仿宋"/>
                <w:b/>
                <w:color w:val="auto"/>
                <w:sz w:val="24"/>
                <w:highlight w:val="none"/>
                <w:lang w:val="zh-CN"/>
              </w:rPr>
            </w:pPr>
          </w:p>
        </w:tc>
      </w:tr>
      <w:tr w14:paraId="5ADC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19843188">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621289D9">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63D34413">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509BE600">
            <w:pPr>
              <w:autoSpaceDE w:val="0"/>
              <w:autoSpaceDN w:val="0"/>
              <w:adjustRightInd w:val="0"/>
              <w:ind w:firstLine="482"/>
              <w:rPr>
                <w:rFonts w:ascii="仿宋" w:hAnsi="仿宋" w:eastAsia="仿宋" w:cs="仿宋"/>
                <w:b/>
                <w:color w:val="auto"/>
                <w:sz w:val="24"/>
                <w:highlight w:val="none"/>
                <w:lang w:val="zh-CN"/>
              </w:rPr>
            </w:pPr>
          </w:p>
        </w:tc>
      </w:tr>
      <w:tr w14:paraId="253F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0F9B71F4">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3883AC5D">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4731A3C2">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0ACD7071">
            <w:pPr>
              <w:autoSpaceDE w:val="0"/>
              <w:autoSpaceDN w:val="0"/>
              <w:adjustRightInd w:val="0"/>
              <w:ind w:firstLine="482"/>
              <w:rPr>
                <w:rFonts w:ascii="仿宋" w:hAnsi="仿宋" w:eastAsia="仿宋" w:cs="仿宋"/>
                <w:b/>
                <w:color w:val="auto"/>
                <w:sz w:val="24"/>
                <w:highlight w:val="none"/>
                <w:lang w:val="zh-CN"/>
              </w:rPr>
            </w:pPr>
          </w:p>
        </w:tc>
      </w:tr>
    </w:tbl>
    <w:p w14:paraId="7A613335">
      <w:pPr>
        <w:autoSpaceDE w:val="0"/>
        <w:autoSpaceDN w:val="0"/>
        <w:adjustRightInd w:val="0"/>
        <w:ind w:firstLine="482"/>
        <w:rPr>
          <w:rFonts w:ascii="仿宋" w:hAnsi="仿宋" w:eastAsia="仿宋" w:cs="仿宋"/>
          <w:b/>
          <w:color w:val="auto"/>
          <w:sz w:val="24"/>
          <w:highlight w:val="none"/>
          <w:lang w:val="zh-CN"/>
        </w:rPr>
      </w:pPr>
    </w:p>
    <w:p w14:paraId="65BB4A86">
      <w:pPr>
        <w:widowControl/>
        <w:adjustRightInd w:val="0"/>
        <w:spacing w:line="72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3C523D8E">
      <w:pPr>
        <w:widowControl/>
        <w:adjustRightInd w:val="0"/>
        <w:spacing w:line="72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1D2A761F">
      <w:pPr>
        <w:widowControl/>
        <w:adjustRightInd w:val="0"/>
        <w:spacing w:line="720" w:lineRule="auto"/>
        <w:jc w:val="left"/>
        <w:rPr>
          <w:rFonts w:ascii="仿宋" w:hAnsi="仿宋" w:eastAsia="仿宋" w:cs="仿宋"/>
          <w:b/>
          <w:bCs/>
          <w:color w:val="auto"/>
          <w:kern w:val="0"/>
          <w:sz w:val="24"/>
          <w:highlight w:val="none"/>
        </w:rPr>
      </w:pPr>
      <w:r>
        <w:rPr>
          <w:rFonts w:hint="eastAsia" w:ascii="仿宋" w:hAnsi="仿宋" w:eastAsia="仿宋" w:cs="仿宋"/>
          <w:color w:val="auto"/>
          <w:kern w:val="0"/>
          <w:sz w:val="24"/>
          <w:highlight w:val="none"/>
        </w:rPr>
        <w:t>日期：    年    月    日</w:t>
      </w:r>
    </w:p>
    <w:p w14:paraId="0C3C141C">
      <w:pPr>
        <w:autoSpaceDE w:val="0"/>
        <w:autoSpaceDN w:val="0"/>
        <w:adjustRightInd w:val="0"/>
        <w:spacing w:line="360" w:lineRule="auto"/>
        <w:rPr>
          <w:rFonts w:ascii="仿宋" w:hAnsi="仿宋" w:eastAsia="仿宋" w:cs="仿宋"/>
          <w:color w:val="auto"/>
          <w:sz w:val="24"/>
          <w:highlight w:val="none"/>
          <w:lang w:val="zh-CN"/>
        </w:rPr>
      </w:pPr>
    </w:p>
    <w:p w14:paraId="74EDC4F7">
      <w:pPr>
        <w:autoSpaceDE w:val="0"/>
        <w:autoSpaceDN w:val="0"/>
        <w:adjustRightInd w:val="0"/>
        <w:spacing w:line="360" w:lineRule="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说明：</w:t>
      </w:r>
    </w:p>
    <w:p w14:paraId="3843A450">
      <w:pPr>
        <w:autoSpaceDE w:val="0"/>
        <w:autoSpaceDN w:val="0"/>
        <w:adjustRightIn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1.请后附相关证明材料</w:t>
      </w:r>
    </w:p>
    <w:p w14:paraId="50E2A44F">
      <w:pPr>
        <w:autoSpaceDE w:val="0"/>
        <w:autoSpaceDN w:val="0"/>
        <w:adjustRightIn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2.如果行、列数不够，请自行增加。</w:t>
      </w:r>
    </w:p>
    <w:p w14:paraId="0035332B">
      <w:pP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br w:type="page"/>
      </w:r>
    </w:p>
    <w:p w14:paraId="6A51523B">
      <w:pPr>
        <w:autoSpaceDE w:val="0"/>
        <w:autoSpaceDN w:val="0"/>
        <w:adjustRightInd w:val="0"/>
        <w:spacing w:line="480" w:lineRule="auto"/>
        <w:ind w:firstLine="622"/>
        <w:jc w:val="left"/>
        <w:outlineLvl w:val="1"/>
        <w:rPr>
          <w:rFonts w:ascii="仿宋" w:hAnsi="仿宋" w:eastAsia="仿宋" w:cs="仿宋"/>
          <w:b/>
          <w:color w:val="auto"/>
          <w:spacing w:val="15"/>
          <w:kern w:val="0"/>
          <w:sz w:val="28"/>
          <w:szCs w:val="28"/>
          <w:highlight w:val="none"/>
        </w:rPr>
      </w:pPr>
      <w:r>
        <w:rPr>
          <w:rFonts w:hint="eastAsia" w:ascii="仿宋" w:hAnsi="仿宋" w:eastAsia="仿宋" w:cs="仿宋"/>
          <w:b/>
          <w:color w:val="auto"/>
          <w:spacing w:val="15"/>
          <w:kern w:val="0"/>
          <w:sz w:val="28"/>
          <w:szCs w:val="28"/>
          <w:highlight w:val="none"/>
        </w:rPr>
        <w:t>十一、</w:t>
      </w:r>
      <w:r>
        <w:rPr>
          <w:rFonts w:hint="eastAsia" w:ascii="仿宋" w:hAnsi="仿宋" w:eastAsia="仿宋" w:cs="仿宋"/>
          <w:b/>
          <w:bCs/>
          <w:color w:val="auto"/>
          <w:spacing w:val="15"/>
          <w:kern w:val="0"/>
          <w:sz w:val="28"/>
          <w:szCs w:val="28"/>
          <w:highlight w:val="none"/>
        </w:rPr>
        <w:t>安全生产责任承诺书</w:t>
      </w:r>
    </w:p>
    <w:p w14:paraId="7432C8B0">
      <w:pPr>
        <w:autoSpaceDE w:val="0"/>
        <w:autoSpaceDN w:val="0"/>
        <w:adjustRightInd w:val="0"/>
        <w:spacing w:line="480" w:lineRule="auto"/>
        <w:jc w:val="center"/>
        <w:rPr>
          <w:rFonts w:ascii="仿宋" w:hAnsi="仿宋" w:eastAsia="仿宋" w:cs="仿宋"/>
          <w:b/>
          <w:bCs/>
          <w:color w:val="auto"/>
          <w:spacing w:val="15"/>
          <w:kern w:val="0"/>
          <w:sz w:val="28"/>
          <w:szCs w:val="22"/>
          <w:highlight w:val="none"/>
        </w:rPr>
      </w:pPr>
      <w:r>
        <w:rPr>
          <w:rFonts w:hint="eastAsia" w:ascii="仿宋" w:hAnsi="仿宋" w:eastAsia="仿宋" w:cs="仿宋"/>
          <w:b/>
          <w:bCs/>
          <w:color w:val="auto"/>
          <w:spacing w:val="15"/>
          <w:kern w:val="0"/>
          <w:sz w:val="28"/>
          <w:szCs w:val="28"/>
          <w:highlight w:val="none"/>
        </w:rPr>
        <w:t>安全生产责任承诺书</w:t>
      </w:r>
    </w:p>
    <w:p w14:paraId="25A2E26C">
      <w:pPr>
        <w:autoSpaceDE w:val="0"/>
        <w:autoSpaceDN w:val="0"/>
        <w:adjustRightInd w:val="0"/>
        <w:spacing w:line="360" w:lineRule="auto"/>
        <w:ind w:firstLine="540" w:firstLineChars="200"/>
        <w:jc w:val="left"/>
        <w:rPr>
          <w:rFonts w:ascii="仿宋" w:hAnsi="仿宋" w:eastAsia="仿宋" w:cs="仿宋"/>
          <w:color w:val="auto"/>
          <w:spacing w:val="15"/>
          <w:kern w:val="0"/>
          <w:sz w:val="24"/>
          <w:szCs w:val="21"/>
          <w:highlight w:val="none"/>
        </w:rPr>
      </w:pPr>
      <w:r>
        <w:rPr>
          <w:rFonts w:hint="eastAsia" w:ascii="仿宋" w:hAnsi="仿宋" w:eastAsia="仿宋" w:cs="仿宋"/>
          <w:color w:val="auto"/>
          <w:spacing w:val="15"/>
          <w:kern w:val="0"/>
          <w:sz w:val="24"/>
          <w:szCs w:val="21"/>
          <w:highlight w:val="none"/>
        </w:rPr>
        <w:t>我公司现向贵单位承诺，我公司在</w:t>
      </w:r>
      <w:r>
        <w:rPr>
          <w:rFonts w:hint="eastAsia" w:ascii="仿宋" w:hAnsi="仿宋" w:eastAsia="仿宋" w:cs="仿宋"/>
          <w:color w:val="auto"/>
          <w:spacing w:val="15"/>
          <w:kern w:val="0"/>
          <w:sz w:val="24"/>
          <w:szCs w:val="21"/>
          <w:highlight w:val="none"/>
          <w:u w:val="single"/>
        </w:rPr>
        <w:t>（</w:t>
      </w:r>
      <w:r>
        <w:rPr>
          <w:rFonts w:hint="eastAsia" w:ascii="仿宋" w:hAnsi="仿宋" w:eastAsia="仿宋" w:cs="仿宋"/>
          <w:color w:val="auto"/>
          <w:kern w:val="0"/>
          <w:sz w:val="24"/>
          <w:szCs w:val="21"/>
          <w:highlight w:val="none"/>
          <w:u w:val="single"/>
        </w:rPr>
        <w:t>项目名称：                     ）</w:t>
      </w:r>
      <w:r>
        <w:rPr>
          <w:rFonts w:hint="eastAsia" w:ascii="仿宋" w:hAnsi="仿宋" w:eastAsia="仿宋" w:cs="仿宋"/>
          <w:color w:val="auto"/>
          <w:kern w:val="0"/>
          <w:sz w:val="24"/>
          <w:szCs w:val="21"/>
          <w:highlight w:val="none"/>
        </w:rPr>
        <w:t>实施</w:t>
      </w:r>
      <w:r>
        <w:rPr>
          <w:rFonts w:hint="eastAsia" w:ascii="仿宋" w:hAnsi="仿宋" w:eastAsia="仿宋" w:cs="仿宋"/>
          <w:color w:val="auto"/>
          <w:spacing w:val="15"/>
          <w:kern w:val="0"/>
          <w:sz w:val="24"/>
          <w:szCs w:val="21"/>
          <w:highlight w:val="none"/>
        </w:rPr>
        <w:t>过程中，保证不发生重大人员伤亡事故，在此服务过程中所发生的一切工伤事故，或安全事故，均由我公司承担一切责任。</w:t>
      </w:r>
    </w:p>
    <w:p w14:paraId="5D0FEBEE">
      <w:pPr>
        <w:autoSpaceDE w:val="0"/>
        <w:autoSpaceDN w:val="0"/>
        <w:adjustRightInd w:val="0"/>
        <w:spacing w:line="360" w:lineRule="auto"/>
        <w:ind w:firstLine="540"/>
        <w:jc w:val="left"/>
        <w:rPr>
          <w:rFonts w:ascii="仿宋" w:hAnsi="仿宋" w:eastAsia="仿宋" w:cs="仿宋"/>
          <w:color w:val="auto"/>
          <w:spacing w:val="15"/>
          <w:kern w:val="0"/>
          <w:sz w:val="24"/>
          <w:szCs w:val="21"/>
          <w:highlight w:val="none"/>
        </w:rPr>
      </w:pPr>
    </w:p>
    <w:p w14:paraId="61417DDA">
      <w:pPr>
        <w:autoSpaceDE w:val="0"/>
        <w:autoSpaceDN w:val="0"/>
        <w:adjustRightInd w:val="0"/>
        <w:spacing w:line="360" w:lineRule="auto"/>
        <w:ind w:firstLine="540"/>
        <w:jc w:val="left"/>
        <w:rPr>
          <w:rFonts w:ascii="仿宋" w:hAnsi="仿宋" w:eastAsia="仿宋" w:cs="仿宋"/>
          <w:color w:val="auto"/>
          <w:spacing w:val="15"/>
          <w:kern w:val="0"/>
          <w:sz w:val="24"/>
          <w:szCs w:val="21"/>
          <w:highlight w:val="none"/>
        </w:rPr>
      </w:pPr>
    </w:p>
    <w:p w14:paraId="7152B9C6">
      <w:pPr>
        <w:autoSpaceDE w:val="0"/>
        <w:autoSpaceDN w:val="0"/>
        <w:adjustRightInd w:val="0"/>
        <w:spacing w:line="360" w:lineRule="auto"/>
        <w:ind w:firstLine="540"/>
        <w:jc w:val="left"/>
        <w:rPr>
          <w:rFonts w:ascii="仿宋" w:hAnsi="仿宋" w:eastAsia="仿宋" w:cs="仿宋"/>
          <w:color w:val="auto"/>
          <w:spacing w:val="15"/>
          <w:kern w:val="0"/>
          <w:sz w:val="24"/>
          <w:szCs w:val="21"/>
          <w:highlight w:val="none"/>
        </w:rPr>
      </w:pPr>
    </w:p>
    <w:p w14:paraId="6401D06D">
      <w:pPr>
        <w:autoSpaceDE w:val="0"/>
        <w:autoSpaceDN w:val="0"/>
        <w:adjustRightInd w:val="0"/>
        <w:spacing w:line="720" w:lineRule="auto"/>
        <w:ind w:firstLine="540"/>
        <w:jc w:val="left"/>
        <w:rPr>
          <w:rFonts w:ascii="仿宋" w:hAnsi="仿宋" w:eastAsia="仿宋" w:cs="仿宋"/>
          <w:color w:val="auto"/>
          <w:spacing w:val="15"/>
          <w:kern w:val="0"/>
          <w:sz w:val="24"/>
          <w:szCs w:val="21"/>
          <w:highlight w:val="none"/>
          <w:u w:val="single"/>
        </w:rPr>
      </w:pPr>
      <w:r>
        <w:rPr>
          <w:rFonts w:hint="eastAsia" w:ascii="仿宋" w:hAnsi="仿宋" w:eastAsia="仿宋" w:cs="仿宋"/>
          <w:color w:val="auto"/>
          <w:spacing w:val="15"/>
          <w:kern w:val="0"/>
          <w:sz w:val="24"/>
          <w:szCs w:val="21"/>
          <w:highlight w:val="none"/>
        </w:rPr>
        <w:t>承诺单位（公章）：</w:t>
      </w:r>
    </w:p>
    <w:p w14:paraId="6D481756">
      <w:pPr>
        <w:autoSpaceDE w:val="0"/>
        <w:autoSpaceDN w:val="0"/>
        <w:adjustRightInd w:val="0"/>
        <w:spacing w:line="720" w:lineRule="auto"/>
        <w:ind w:firstLine="540"/>
        <w:jc w:val="left"/>
        <w:rPr>
          <w:rFonts w:ascii="仿宋" w:hAnsi="仿宋" w:eastAsia="仿宋" w:cs="仿宋"/>
          <w:color w:val="auto"/>
          <w:spacing w:val="15"/>
          <w:kern w:val="0"/>
          <w:sz w:val="24"/>
          <w:szCs w:val="21"/>
          <w:highlight w:val="none"/>
          <w:u w:val="single"/>
        </w:rPr>
      </w:pPr>
      <w:r>
        <w:rPr>
          <w:rFonts w:hint="eastAsia" w:ascii="仿宋" w:hAnsi="仿宋" w:eastAsia="仿宋" w:cs="仿宋"/>
          <w:color w:val="auto"/>
          <w:spacing w:val="15"/>
          <w:kern w:val="0"/>
          <w:sz w:val="24"/>
          <w:szCs w:val="21"/>
          <w:highlight w:val="none"/>
        </w:rPr>
        <w:t>法定代表人（签字或盖章）：</w:t>
      </w:r>
    </w:p>
    <w:p w14:paraId="34C6C973">
      <w:pPr>
        <w:autoSpaceDE w:val="0"/>
        <w:autoSpaceDN w:val="0"/>
        <w:adjustRightInd w:val="0"/>
        <w:spacing w:line="720" w:lineRule="auto"/>
        <w:ind w:firstLine="540"/>
        <w:jc w:val="left"/>
        <w:rPr>
          <w:rFonts w:ascii="仿宋" w:hAnsi="仿宋" w:eastAsia="仿宋" w:cs="仿宋"/>
          <w:color w:val="auto"/>
          <w:spacing w:val="15"/>
          <w:kern w:val="0"/>
          <w:sz w:val="24"/>
          <w:szCs w:val="21"/>
          <w:highlight w:val="none"/>
          <w:u w:val="single"/>
        </w:rPr>
      </w:pPr>
      <w:r>
        <w:rPr>
          <w:rFonts w:hint="eastAsia" w:ascii="仿宋" w:hAnsi="仿宋" w:eastAsia="仿宋" w:cs="仿宋"/>
          <w:color w:val="auto"/>
          <w:spacing w:val="15"/>
          <w:kern w:val="0"/>
          <w:sz w:val="24"/>
          <w:szCs w:val="21"/>
          <w:highlight w:val="none"/>
        </w:rPr>
        <w:t>授权代表（签字）：</w:t>
      </w:r>
    </w:p>
    <w:p w14:paraId="08ED2D83">
      <w:pPr>
        <w:autoSpaceDE w:val="0"/>
        <w:autoSpaceDN w:val="0"/>
        <w:adjustRightInd w:val="0"/>
        <w:spacing w:line="720" w:lineRule="auto"/>
        <w:ind w:firstLine="540"/>
        <w:jc w:val="left"/>
        <w:rPr>
          <w:rFonts w:ascii="仿宋" w:hAnsi="仿宋" w:eastAsia="仿宋" w:cs="仿宋"/>
          <w:color w:val="auto"/>
          <w:spacing w:val="15"/>
          <w:kern w:val="0"/>
          <w:sz w:val="24"/>
          <w:szCs w:val="21"/>
          <w:highlight w:val="none"/>
          <w:u w:val="single"/>
        </w:rPr>
      </w:pPr>
      <w:r>
        <w:rPr>
          <w:rFonts w:hint="eastAsia" w:ascii="仿宋" w:hAnsi="仿宋" w:eastAsia="仿宋" w:cs="仿宋"/>
          <w:color w:val="auto"/>
          <w:spacing w:val="15"/>
          <w:kern w:val="0"/>
          <w:sz w:val="24"/>
          <w:szCs w:val="21"/>
          <w:highlight w:val="none"/>
        </w:rPr>
        <w:t>日期：</w:t>
      </w:r>
    </w:p>
    <w:p w14:paraId="436AD7FC">
      <w:pPr>
        <w:ind w:firstLine="422"/>
        <w:rPr>
          <w:rFonts w:ascii="仿宋" w:hAnsi="仿宋" w:eastAsia="仿宋" w:cs="仿宋"/>
          <w:b/>
          <w:color w:val="auto"/>
          <w:szCs w:val="21"/>
          <w:highlight w:val="none"/>
        </w:rPr>
      </w:pPr>
    </w:p>
    <w:p w14:paraId="1FD5F4B7">
      <w:pPr>
        <w:ind w:firstLine="422"/>
        <w:rPr>
          <w:rFonts w:ascii="仿宋" w:hAnsi="仿宋" w:eastAsia="仿宋" w:cs="仿宋"/>
          <w:b/>
          <w:color w:val="auto"/>
          <w:szCs w:val="21"/>
          <w:highlight w:val="none"/>
        </w:rPr>
      </w:pPr>
    </w:p>
    <w:p w14:paraId="1ECE737C">
      <w:pPr>
        <w:rPr>
          <w:rFonts w:ascii="仿宋" w:hAnsi="仿宋" w:eastAsia="仿宋" w:cs="仿宋"/>
          <w:b/>
          <w:color w:val="auto"/>
          <w:spacing w:val="15"/>
          <w:kern w:val="0"/>
          <w:sz w:val="28"/>
          <w:szCs w:val="28"/>
          <w:highlight w:val="none"/>
        </w:rPr>
      </w:pPr>
      <w:r>
        <w:rPr>
          <w:rFonts w:hint="eastAsia" w:ascii="仿宋" w:hAnsi="仿宋" w:eastAsia="仿宋" w:cs="仿宋"/>
          <w:b/>
          <w:color w:val="auto"/>
          <w:spacing w:val="15"/>
          <w:kern w:val="0"/>
          <w:sz w:val="28"/>
          <w:szCs w:val="28"/>
          <w:highlight w:val="none"/>
        </w:rPr>
        <w:br w:type="page"/>
      </w:r>
    </w:p>
    <w:p w14:paraId="58853CD3">
      <w:pPr>
        <w:ind w:firstLine="622"/>
        <w:outlineLvl w:val="1"/>
        <w:rPr>
          <w:rFonts w:ascii="仿宋" w:hAnsi="仿宋" w:eastAsia="仿宋" w:cs="仿宋"/>
          <w:b/>
          <w:color w:val="auto"/>
          <w:spacing w:val="15"/>
          <w:kern w:val="0"/>
          <w:sz w:val="24"/>
          <w:highlight w:val="none"/>
        </w:rPr>
      </w:pPr>
      <w:r>
        <w:rPr>
          <w:rFonts w:hint="eastAsia" w:ascii="仿宋" w:hAnsi="仿宋" w:eastAsia="仿宋" w:cs="仿宋"/>
          <w:b/>
          <w:color w:val="auto"/>
          <w:spacing w:val="15"/>
          <w:kern w:val="0"/>
          <w:sz w:val="28"/>
          <w:szCs w:val="28"/>
          <w:highlight w:val="none"/>
        </w:rPr>
        <w:t>十二、供应商认为需提供的其他资料</w:t>
      </w:r>
    </w:p>
    <w:p w14:paraId="3ECB69AB">
      <w:pPr>
        <w:widowControl/>
        <w:ind w:firstLine="422"/>
        <w:jc w:val="left"/>
        <w:rPr>
          <w:rFonts w:ascii="仿宋" w:hAnsi="仿宋" w:eastAsia="仿宋" w:cs="仿宋"/>
          <w:b/>
          <w:color w:val="auto"/>
          <w:szCs w:val="21"/>
          <w:highlight w:val="none"/>
        </w:rPr>
      </w:pPr>
      <w:r>
        <w:rPr>
          <w:rFonts w:hint="eastAsia" w:ascii="仿宋" w:hAnsi="仿宋" w:eastAsia="仿宋" w:cs="仿宋"/>
          <w:b/>
          <w:color w:val="auto"/>
          <w:szCs w:val="21"/>
          <w:highlight w:val="none"/>
        </w:rPr>
        <w:br w:type="page"/>
      </w:r>
    </w:p>
    <w:p w14:paraId="00C132A0">
      <w:pPr>
        <w:autoSpaceDE w:val="0"/>
        <w:autoSpaceDN w:val="0"/>
        <w:adjustRightInd w:val="0"/>
        <w:spacing w:line="360" w:lineRule="auto"/>
        <w:ind w:firstLine="562"/>
        <w:outlineLvl w:val="1"/>
        <w:rPr>
          <w:rFonts w:ascii="仿宋" w:hAnsi="仿宋" w:eastAsia="仿宋" w:cs="仿宋"/>
          <w:b/>
          <w:bCs/>
          <w:color w:val="auto"/>
          <w:sz w:val="28"/>
          <w:szCs w:val="28"/>
          <w:highlight w:val="none"/>
          <w:lang w:val="zh-CN"/>
        </w:rPr>
      </w:pPr>
      <w:r>
        <w:rPr>
          <w:rFonts w:hint="eastAsia" w:ascii="仿宋" w:hAnsi="仿宋" w:eastAsia="仿宋" w:cs="仿宋"/>
          <w:b/>
          <w:bCs/>
          <w:color w:val="auto"/>
          <w:sz w:val="28"/>
          <w:szCs w:val="28"/>
          <w:highlight w:val="none"/>
        </w:rPr>
        <w:t>附件一、</w:t>
      </w:r>
      <w:r>
        <w:rPr>
          <w:rFonts w:hint="eastAsia" w:ascii="仿宋" w:hAnsi="仿宋" w:eastAsia="仿宋" w:cs="仿宋"/>
          <w:b/>
          <w:bCs/>
          <w:color w:val="auto"/>
          <w:sz w:val="28"/>
          <w:szCs w:val="28"/>
          <w:highlight w:val="none"/>
          <w:lang w:val="zh-CN"/>
        </w:rPr>
        <w:t>具备履行合同所必需的设备和专业技术能力的书面声明</w:t>
      </w:r>
    </w:p>
    <w:p w14:paraId="1CFD5ADB">
      <w:pPr>
        <w:autoSpaceDE w:val="0"/>
        <w:autoSpaceDN w:val="0"/>
        <w:adjustRightInd w:val="0"/>
        <w:spacing w:line="360" w:lineRule="auto"/>
        <w:ind w:firstLine="562"/>
        <w:jc w:val="center"/>
        <w:rPr>
          <w:rFonts w:ascii="仿宋" w:hAnsi="仿宋" w:eastAsia="仿宋" w:cs="仿宋"/>
          <w:b/>
          <w:bCs/>
          <w:color w:val="auto"/>
          <w:sz w:val="28"/>
          <w:szCs w:val="28"/>
          <w:highlight w:val="none"/>
          <w:lang w:val="zh-CN"/>
        </w:rPr>
      </w:pPr>
    </w:p>
    <w:p w14:paraId="077A34D0">
      <w:pPr>
        <w:autoSpaceDE w:val="0"/>
        <w:autoSpaceDN w:val="0"/>
        <w:adjustRightInd w:val="0"/>
        <w:spacing w:line="360" w:lineRule="auto"/>
        <w:ind w:firstLine="562"/>
        <w:jc w:val="center"/>
        <w:rPr>
          <w:rFonts w:ascii="仿宋" w:hAnsi="仿宋" w:eastAsia="仿宋" w:cs="仿宋"/>
          <w:b/>
          <w:bCs/>
          <w:color w:val="auto"/>
          <w:szCs w:val="21"/>
          <w:highlight w:val="none"/>
          <w:lang w:val="zh-CN"/>
        </w:rPr>
      </w:pPr>
      <w:r>
        <w:rPr>
          <w:rFonts w:hint="eastAsia" w:ascii="仿宋" w:hAnsi="仿宋" w:eastAsia="仿宋" w:cs="仿宋"/>
          <w:b/>
          <w:bCs/>
          <w:color w:val="auto"/>
          <w:sz w:val="28"/>
          <w:szCs w:val="28"/>
          <w:highlight w:val="none"/>
          <w:lang w:val="zh-CN"/>
        </w:rPr>
        <w:t>具备履行合同所必需的设备和专业技术能力的书面声明</w:t>
      </w:r>
    </w:p>
    <w:p w14:paraId="36596246">
      <w:pPr>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我公司郑重声明：我公司具备履行本项采购合同所必需的设备和专业技术能力，为履行本项采购合同我公司具备如下主要设备和主要专业技术能力：</w:t>
      </w:r>
    </w:p>
    <w:p w14:paraId="14C0AE72">
      <w:pPr>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主要设备有：</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18731A08">
      <w:pPr>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主要专业技术能力有：</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1B37E0B6">
      <w:pPr>
        <w:spacing w:line="360" w:lineRule="auto"/>
        <w:ind w:firstLine="480"/>
        <w:rPr>
          <w:rFonts w:ascii="仿宋" w:hAnsi="仿宋" w:eastAsia="仿宋" w:cs="仿宋"/>
          <w:color w:val="auto"/>
          <w:sz w:val="24"/>
          <w:highlight w:val="none"/>
        </w:rPr>
      </w:pPr>
    </w:p>
    <w:p w14:paraId="52610088">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授权代表（签字）： </w:t>
      </w:r>
    </w:p>
    <w:p w14:paraId="389F6049">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谈判供应商名称（盖章）：</w:t>
      </w:r>
    </w:p>
    <w:p w14:paraId="5E6C3E82">
      <w:pPr>
        <w:widowControl/>
        <w:jc w:val="left"/>
        <w:rPr>
          <w:rFonts w:ascii="仿宋" w:hAnsi="仿宋" w:eastAsia="仿宋" w:cs="仿宋"/>
          <w:b/>
          <w:color w:val="auto"/>
          <w:sz w:val="24"/>
          <w:szCs w:val="21"/>
          <w:highlight w:val="none"/>
        </w:rPr>
      </w:pPr>
      <w:r>
        <w:rPr>
          <w:rFonts w:hint="eastAsia" w:ascii="仿宋" w:hAnsi="仿宋" w:eastAsia="仿宋" w:cs="仿宋"/>
          <w:color w:val="auto"/>
          <w:sz w:val="24"/>
          <w:highlight w:val="none"/>
        </w:rPr>
        <w:t>日期：    年    月    日</w:t>
      </w:r>
    </w:p>
    <w:p w14:paraId="383E42B9">
      <w:pPr>
        <w:ind w:firstLine="4200" w:firstLineChars="2000"/>
        <w:rPr>
          <w:rFonts w:ascii="仿宋" w:hAnsi="仿宋" w:eastAsia="仿宋" w:cs="仿宋"/>
          <w:color w:val="auto"/>
          <w:highlight w:val="none"/>
        </w:rPr>
      </w:pPr>
    </w:p>
    <w:p w14:paraId="04CACC34">
      <w:pPr>
        <w:ind w:firstLine="482"/>
        <w:rPr>
          <w:rFonts w:ascii="仿宋" w:hAnsi="仿宋" w:eastAsia="仿宋" w:cs="仿宋"/>
          <w:b/>
          <w:color w:val="auto"/>
          <w:sz w:val="24"/>
          <w:szCs w:val="21"/>
          <w:highlight w:val="none"/>
        </w:rPr>
      </w:pPr>
    </w:p>
    <w:p w14:paraId="0F01D51E">
      <w:pPr>
        <w:ind w:firstLine="482"/>
        <w:rPr>
          <w:rFonts w:ascii="仿宋" w:hAnsi="仿宋" w:eastAsia="仿宋" w:cs="仿宋"/>
          <w:b/>
          <w:color w:val="auto"/>
          <w:sz w:val="24"/>
          <w:szCs w:val="21"/>
          <w:highlight w:val="none"/>
        </w:rPr>
      </w:pPr>
    </w:p>
    <w:p w14:paraId="038B6A80">
      <w:pPr>
        <w:ind w:firstLine="562"/>
        <w:outlineLvl w:val="1"/>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附件二、无重大违法记录声明</w:t>
      </w:r>
    </w:p>
    <w:p w14:paraId="61863027">
      <w:pPr>
        <w:widowControl/>
        <w:adjustRightInd w:val="0"/>
        <w:spacing w:line="240" w:lineRule="atLeast"/>
        <w:ind w:firstLine="562"/>
        <w:jc w:val="left"/>
        <w:rPr>
          <w:rFonts w:ascii="仿宋" w:hAnsi="仿宋" w:eastAsia="仿宋" w:cs="仿宋"/>
          <w:b/>
          <w:color w:val="auto"/>
          <w:sz w:val="28"/>
          <w:szCs w:val="28"/>
          <w:highlight w:val="none"/>
        </w:rPr>
      </w:pPr>
    </w:p>
    <w:p w14:paraId="708B2F3E">
      <w:pPr>
        <w:jc w:val="center"/>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无重大违法记录声明</w:t>
      </w:r>
    </w:p>
    <w:p w14:paraId="6CCE0956">
      <w:pPr>
        <w:spacing w:line="360" w:lineRule="auto"/>
        <w:jc w:val="left"/>
        <w:rPr>
          <w:rFonts w:ascii="仿宋" w:hAnsi="仿宋" w:eastAsia="仿宋" w:cs="仿宋"/>
          <w:color w:val="auto"/>
          <w:sz w:val="24"/>
          <w:highlight w:val="none"/>
        </w:rPr>
      </w:pPr>
    </w:p>
    <w:p w14:paraId="22689DBD">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我单位</w:t>
      </w:r>
      <w:r>
        <w:rPr>
          <w:rFonts w:hint="eastAsia" w:ascii="仿宋" w:hAnsi="仿宋" w:eastAsia="仿宋" w:cs="仿宋"/>
          <w:color w:val="auto"/>
          <w:sz w:val="24"/>
          <w:highlight w:val="none"/>
          <w:u w:val="single"/>
        </w:rPr>
        <w:t xml:space="preserve">    （供应商名称）</w:t>
      </w:r>
      <w:r>
        <w:rPr>
          <w:rFonts w:hint="eastAsia" w:ascii="仿宋" w:hAnsi="仿宋" w:eastAsia="仿宋" w:cs="仿宋"/>
          <w:color w:val="auto"/>
          <w:sz w:val="24"/>
          <w:highlight w:val="none"/>
        </w:rPr>
        <w:t>郑重声明：</w:t>
      </w:r>
    </w:p>
    <w:p w14:paraId="112AF55D">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参加本次采购活动前3年内在经营活动中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（在下划线上如实填写：有或没有）重大违法记录。</w:t>
      </w:r>
    </w:p>
    <w:p w14:paraId="5E8AD39C">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（说明：政府采购法第二十二条第一款第五项所称重大违法记录，是指供应商因违法经营受到刑事处罚或者责令停产停业、吊销许可证或者执照、较大数额罚款等行政处罚。）</w:t>
      </w:r>
    </w:p>
    <w:p w14:paraId="5DE6A408">
      <w:pPr>
        <w:spacing w:line="360" w:lineRule="auto"/>
        <w:jc w:val="left"/>
        <w:rPr>
          <w:rFonts w:ascii="仿宋" w:hAnsi="仿宋" w:eastAsia="仿宋" w:cs="仿宋"/>
          <w:color w:val="auto"/>
          <w:sz w:val="24"/>
          <w:highlight w:val="none"/>
        </w:rPr>
      </w:pPr>
    </w:p>
    <w:p w14:paraId="11BE9793">
      <w:pPr>
        <w:spacing w:line="360" w:lineRule="auto"/>
        <w:jc w:val="left"/>
        <w:rPr>
          <w:rFonts w:ascii="仿宋" w:hAnsi="仿宋" w:eastAsia="仿宋" w:cs="仿宋"/>
          <w:color w:val="auto"/>
          <w:sz w:val="24"/>
          <w:highlight w:val="none"/>
        </w:rPr>
      </w:pPr>
    </w:p>
    <w:p w14:paraId="14DD8F23">
      <w:pPr>
        <w:spacing w:line="72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声明人（公章）：</w:t>
      </w:r>
    </w:p>
    <w:p w14:paraId="43819F62">
      <w:pPr>
        <w:spacing w:line="720" w:lineRule="auto"/>
        <w:ind w:right="960"/>
        <w:rPr>
          <w:color w:val="auto"/>
          <w:highlight w:val="none"/>
        </w:rPr>
      </w:pPr>
      <w:r>
        <w:rPr>
          <w:rFonts w:hint="eastAsia" w:ascii="仿宋" w:hAnsi="仿宋" w:eastAsia="仿宋" w:cs="仿宋"/>
          <w:color w:val="auto"/>
          <w:sz w:val="24"/>
          <w:highlight w:val="none"/>
        </w:rPr>
        <w:t>年    月    日</w:t>
      </w:r>
    </w:p>
    <w:sectPr>
      <w:headerReference r:id="rId6" w:type="first"/>
      <w:footerReference r:id="rId8" w:type="first"/>
      <w:headerReference r:id="rId5" w:type="default"/>
      <w:footerReference r:id="rId7" w:type="default"/>
      <w:pgSz w:w="11905" w:h="16838"/>
      <w:pgMar w:top="1962" w:right="1474" w:bottom="1848" w:left="1587" w:header="850" w:footer="992"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大黑简体">
    <w:altName w:val="黑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 w:name="KNLe">
    <w:altName w:val="Times New Roman"/>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CE2BD">
    <w:pPr>
      <w:pStyle w:val="26"/>
    </w:pPr>
  </w:p>
  <w:p w14:paraId="2BE92A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AADD0">
    <w:pPr>
      <w:pStyle w:val="26"/>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E4C8B32">
                          <w:pPr>
                            <w:pStyle w:val="2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55</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yiez8YBAACb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p+S1nTlh68PPT4/nHr/PP72yZ&#10;5Ok9VlT14KkuDu9goKWZ40jBxHpog01f4sMoT+KeLuKqITKZLq2Wq1VJKUm52SH84vm6DxjfK7As&#10;GTUP9HpZVHH8iHEsnUtSNwf32pj8gsb9FSDMMaLyCky3E5Nx4mTFYTdM9HbQnIhdT2tQc0dbz5n5&#10;4EjltDGzEWZjNxmpI/q3h0hj5OkS6ghFrJJDb5b5TfuVluJPP1c9/1O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XKJ7PxgEAAJsDAAAOAAAAAAAAAAEAIAAAAB4BAABkcnMvZTJvRG9jLnht&#10;bFBLBQYAAAAABgAGAFkBAABWBQAAAAA=&#10;">
              <v:fill on="f" focussize="0,0"/>
              <v:stroke on="f"/>
              <v:imagedata o:title=""/>
              <o:lock v:ext="edit" aspectratio="f"/>
              <v:textbox inset="0mm,0mm,0mm,0mm" style="mso-fit-shape-to-text:t;">
                <w:txbxContent>
                  <w:p w14:paraId="2E4C8B32">
                    <w:pPr>
                      <w:pStyle w:val="2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55</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07D45">
    <w:pPr>
      <w:pStyle w:val="26"/>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F5892">
                          <w:pPr>
                            <w:pStyle w:val="2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19AF5892">
                    <w:pPr>
                      <w:pStyle w:val="26"/>
                    </w:pPr>
                    <w:r>
                      <w:fldChar w:fldCharType="begin"/>
                    </w:r>
                    <w:r>
                      <w:instrText xml:space="preserve"> PAGE  \* MERGEFORMAT </w:instrText>
                    </w:r>
                    <w:r>
                      <w:fldChar w:fldCharType="separate"/>
                    </w:r>
                    <w:r>
                      <w:t>5</w:t>
                    </w:r>
                    <w:r>
                      <w:fldChar w:fldCharType="end"/>
                    </w:r>
                  </w:p>
                </w:txbxContent>
              </v:textbox>
            </v:shape>
          </w:pict>
        </mc:Fallback>
      </mc:AlternateContent>
    </w:r>
  </w:p>
  <w:p w14:paraId="29430571">
    <w:pPr>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3695B">
    <w:pPr>
      <w:pStyle w:val="26"/>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8F88E">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3BD8F88E">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23056">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0702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1861CA"/>
    <w:multiLevelType w:val="multilevel"/>
    <w:tmpl w:val="7D1861CA"/>
    <w:lvl w:ilvl="0" w:tentative="0">
      <w:start w:val="1"/>
      <w:numFmt w:val="bullet"/>
      <w:pStyle w:val="56"/>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kNzVkNGRiNTk3MjU1MDZkMjRmYzg1OTc3Y2UyOTAifQ=="/>
  </w:docVars>
  <w:rsids>
    <w:rsidRoot w:val="007E7AA7"/>
    <w:rsid w:val="0001235D"/>
    <w:rsid w:val="00025F70"/>
    <w:rsid w:val="00036430"/>
    <w:rsid w:val="00050698"/>
    <w:rsid w:val="000554DA"/>
    <w:rsid w:val="00056A67"/>
    <w:rsid w:val="0007086C"/>
    <w:rsid w:val="0007191E"/>
    <w:rsid w:val="00073D8C"/>
    <w:rsid w:val="00073EFA"/>
    <w:rsid w:val="00093C9B"/>
    <w:rsid w:val="000A03FE"/>
    <w:rsid w:val="000A35BF"/>
    <w:rsid w:val="000A3A5E"/>
    <w:rsid w:val="000A42DB"/>
    <w:rsid w:val="000A5254"/>
    <w:rsid w:val="000C7151"/>
    <w:rsid w:val="000D3DD6"/>
    <w:rsid w:val="000E0787"/>
    <w:rsid w:val="000E16AC"/>
    <w:rsid w:val="0010401C"/>
    <w:rsid w:val="001205DA"/>
    <w:rsid w:val="00130E44"/>
    <w:rsid w:val="00134909"/>
    <w:rsid w:val="0013695A"/>
    <w:rsid w:val="0015057C"/>
    <w:rsid w:val="00154D5D"/>
    <w:rsid w:val="00157CA2"/>
    <w:rsid w:val="00162A57"/>
    <w:rsid w:val="00164E93"/>
    <w:rsid w:val="00172E78"/>
    <w:rsid w:val="0019230E"/>
    <w:rsid w:val="0019654F"/>
    <w:rsid w:val="001A5174"/>
    <w:rsid w:val="001C4AD6"/>
    <w:rsid w:val="001C7BC0"/>
    <w:rsid w:val="001E4B77"/>
    <w:rsid w:val="001F03B1"/>
    <w:rsid w:val="001F4D9F"/>
    <w:rsid w:val="001F5444"/>
    <w:rsid w:val="002035AC"/>
    <w:rsid w:val="002054B4"/>
    <w:rsid w:val="00207852"/>
    <w:rsid w:val="00213383"/>
    <w:rsid w:val="0021373C"/>
    <w:rsid w:val="0022003D"/>
    <w:rsid w:val="00241108"/>
    <w:rsid w:val="00257FAF"/>
    <w:rsid w:val="00265F71"/>
    <w:rsid w:val="0028229C"/>
    <w:rsid w:val="00282683"/>
    <w:rsid w:val="00294020"/>
    <w:rsid w:val="002A2EC0"/>
    <w:rsid w:val="002A4160"/>
    <w:rsid w:val="002B32FC"/>
    <w:rsid w:val="002C154E"/>
    <w:rsid w:val="002C5B0B"/>
    <w:rsid w:val="002D2ED3"/>
    <w:rsid w:val="002E4F40"/>
    <w:rsid w:val="002F359D"/>
    <w:rsid w:val="002F50E6"/>
    <w:rsid w:val="00306229"/>
    <w:rsid w:val="00315C07"/>
    <w:rsid w:val="0033785D"/>
    <w:rsid w:val="00342D99"/>
    <w:rsid w:val="003475F1"/>
    <w:rsid w:val="00352B0B"/>
    <w:rsid w:val="00384B72"/>
    <w:rsid w:val="003906D3"/>
    <w:rsid w:val="00392C6D"/>
    <w:rsid w:val="003A2D5E"/>
    <w:rsid w:val="003B14F1"/>
    <w:rsid w:val="003C30E5"/>
    <w:rsid w:val="003C3663"/>
    <w:rsid w:val="003D0404"/>
    <w:rsid w:val="003D239C"/>
    <w:rsid w:val="003D52D5"/>
    <w:rsid w:val="003E601B"/>
    <w:rsid w:val="003F5995"/>
    <w:rsid w:val="00400515"/>
    <w:rsid w:val="00405784"/>
    <w:rsid w:val="004112E9"/>
    <w:rsid w:val="00413594"/>
    <w:rsid w:val="004176A0"/>
    <w:rsid w:val="00420083"/>
    <w:rsid w:val="00425274"/>
    <w:rsid w:val="004317AE"/>
    <w:rsid w:val="004400C7"/>
    <w:rsid w:val="00443C21"/>
    <w:rsid w:val="0044496D"/>
    <w:rsid w:val="0045189E"/>
    <w:rsid w:val="00454063"/>
    <w:rsid w:val="004659A5"/>
    <w:rsid w:val="00477393"/>
    <w:rsid w:val="00484B69"/>
    <w:rsid w:val="00490FD3"/>
    <w:rsid w:val="004A3839"/>
    <w:rsid w:val="004A7BAF"/>
    <w:rsid w:val="004B6E08"/>
    <w:rsid w:val="004B6EE5"/>
    <w:rsid w:val="004C24FB"/>
    <w:rsid w:val="004E084A"/>
    <w:rsid w:val="004F1650"/>
    <w:rsid w:val="004F7957"/>
    <w:rsid w:val="00500FFA"/>
    <w:rsid w:val="00522ED7"/>
    <w:rsid w:val="0052624E"/>
    <w:rsid w:val="00535433"/>
    <w:rsid w:val="00541E87"/>
    <w:rsid w:val="0055037E"/>
    <w:rsid w:val="005528E8"/>
    <w:rsid w:val="005558D1"/>
    <w:rsid w:val="005568D1"/>
    <w:rsid w:val="00557978"/>
    <w:rsid w:val="00560148"/>
    <w:rsid w:val="005677D5"/>
    <w:rsid w:val="005A4F4A"/>
    <w:rsid w:val="005B6944"/>
    <w:rsid w:val="005C3FAC"/>
    <w:rsid w:val="005D00E5"/>
    <w:rsid w:val="005D5609"/>
    <w:rsid w:val="005D7D77"/>
    <w:rsid w:val="005E0778"/>
    <w:rsid w:val="005E16A6"/>
    <w:rsid w:val="005E1EA2"/>
    <w:rsid w:val="005E7D07"/>
    <w:rsid w:val="005F1667"/>
    <w:rsid w:val="0061354E"/>
    <w:rsid w:val="00622E05"/>
    <w:rsid w:val="00627BAE"/>
    <w:rsid w:val="00652176"/>
    <w:rsid w:val="00652508"/>
    <w:rsid w:val="00653B6D"/>
    <w:rsid w:val="00662CC0"/>
    <w:rsid w:val="00667140"/>
    <w:rsid w:val="00681031"/>
    <w:rsid w:val="006832BA"/>
    <w:rsid w:val="00693037"/>
    <w:rsid w:val="00693ED9"/>
    <w:rsid w:val="006946A2"/>
    <w:rsid w:val="006A716A"/>
    <w:rsid w:val="006C32CA"/>
    <w:rsid w:val="006C55F2"/>
    <w:rsid w:val="006D12F1"/>
    <w:rsid w:val="006E3A0E"/>
    <w:rsid w:val="006E57E1"/>
    <w:rsid w:val="006E674F"/>
    <w:rsid w:val="006E6D5F"/>
    <w:rsid w:val="006F2AF5"/>
    <w:rsid w:val="006F6B39"/>
    <w:rsid w:val="00700034"/>
    <w:rsid w:val="00705EE1"/>
    <w:rsid w:val="007117FC"/>
    <w:rsid w:val="00711B0F"/>
    <w:rsid w:val="00716E89"/>
    <w:rsid w:val="0072376A"/>
    <w:rsid w:val="00734E5F"/>
    <w:rsid w:val="00741E1D"/>
    <w:rsid w:val="00746D2F"/>
    <w:rsid w:val="00755BD8"/>
    <w:rsid w:val="0076048F"/>
    <w:rsid w:val="00761D44"/>
    <w:rsid w:val="00774804"/>
    <w:rsid w:val="00776AF3"/>
    <w:rsid w:val="007818B4"/>
    <w:rsid w:val="00790069"/>
    <w:rsid w:val="007936E8"/>
    <w:rsid w:val="00796BBE"/>
    <w:rsid w:val="007A2C31"/>
    <w:rsid w:val="007B1AC9"/>
    <w:rsid w:val="007B7DE2"/>
    <w:rsid w:val="007C1E86"/>
    <w:rsid w:val="007C4C7D"/>
    <w:rsid w:val="007C6D99"/>
    <w:rsid w:val="007D305B"/>
    <w:rsid w:val="007E7AA7"/>
    <w:rsid w:val="007F0430"/>
    <w:rsid w:val="00803875"/>
    <w:rsid w:val="00807B68"/>
    <w:rsid w:val="008121D8"/>
    <w:rsid w:val="008164F4"/>
    <w:rsid w:val="0081654E"/>
    <w:rsid w:val="00816A38"/>
    <w:rsid w:val="0081768E"/>
    <w:rsid w:val="00817A86"/>
    <w:rsid w:val="00824EDC"/>
    <w:rsid w:val="00832510"/>
    <w:rsid w:val="00833D16"/>
    <w:rsid w:val="00834513"/>
    <w:rsid w:val="0083703E"/>
    <w:rsid w:val="00852631"/>
    <w:rsid w:val="008578F2"/>
    <w:rsid w:val="00857DBE"/>
    <w:rsid w:val="008711FD"/>
    <w:rsid w:val="0087403A"/>
    <w:rsid w:val="0088062B"/>
    <w:rsid w:val="008900AC"/>
    <w:rsid w:val="00896DF1"/>
    <w:rsid w:val="008B17C8"/>
    <w:rsid w:val="008B2E6E"/>
    <w:rsid w:val="008B66B2"/>
    <w:rsid w:val="008B73C2"/>
    <w:rsid w:val="008C3E2B"/>
    <w:rsid w:val="008D1B29"/>
    <w:rsid w:val="008D292A"/>
    <w:rsid w:val="008E47AA"/>
    <w:rsid w:val="008E6E2B"/>
    <w:rsid w:val="008F736F"/>
    <w:rsid w:val="0090018F"/>
    <w:rsid w:val="00902E1D"/>
    <w:rsid w:val="009035D2"/>
    <w:rsid w:val="00910B40"/>
    <w:rsid w:val="00920750"/>
    <w:rsid w:val="009218B3"/>
    <w:rsid w:val="00921E05"/>
    <w:rsid w:val="009320A9"/>
    <w:rsid w:val="009437AC"/>
    <w:rsid w:val="0095413A"/>
    <w:rsid w:val="00965B6C"/>
    <w:rsid w:val="009779DB"/>
    <w:rsid w:val="00995217"/>
    <w:rsid w:val="00997D30"/>
    <w:rsid w:val="009A09AD"/>
    <w:rsid w:val="009B0F24"/>
    <w:rsid w:val="009B1626"/>
    <w:rsid w:val="009B321F"/>
    <w:rsid w:val="009B4949"/>
    <w:rsid w:val="009C4C27"/>
    <w:rsid w:val="009C6FE8"/>
    <w:rsid w:val="009D75E9"/>
    <w:rsid w:val="009E68FD"/>
    <w:rsid w:val="00A042A6"/>
    <w:rsid w:val="00A107E7"/>
    <w:rsid w:val="00A23B56"/>
    <w:rsid w:val="00A26876"/>
    <w:rsid w:val="00A34908"/>
    <w:rsid w:val="00A3542D"/>
    <w:rsid w:val="00A37E4D"/>
    <w:rsid w:val="00A41DC8"/>
    <w:rsid w:val="00A421CF"/>
    <w:rsid w:val="00A463A2"/>
    <w:rsid w:val="00A51BEB"/>
    <w:rsid w:val="00A55EDA"/>
    <w:rsid w:val="00A5608A"/>
    <w:rsid w:val="00A650FE"/>
    <w:rsid w:val="00A71106"/>
    <w:rsid w:val="00AA29E8"/>
    <w:rsid w:val="00AD31F8"/>
    <w:rsid w:val="00AD5057"/>
    <w:rsid w:val="00AE28C7"/>
    <w:rsid w:val="00AE3A51"/>
    <w:rsid w:val="00AF072C"/>
    <w:rsid w:val="00AF6B90"/>
    <w:rsid w:val="00B00BD6"/>
    <w:rsid w:val="00B11FAE"/>
    <w:rsid w:val="00B175E0"/>
    <w:rsid w:val="00B21655"/>
    <w:rsid w:val="00B319E9"/>
    <w:rsid w:val="00B45855"/>
    <w:rsid w:val="00B53563"/>
    <w:rsid w:val="00B6418E"/>
    <w:rsid w:val="00B6779F"/>
    <w:rsid w:val="00B72A7D"/>
    <w:rsid w:val="00B74B45"/>
    <w:rsid w:val="00B842BE"/>
    <w:rsid w:val="00B84F76"/>
    <w:rsid w:val="00B8787B"/>
    <w:rsid w:val="00BB347C"/>
    <w:rsid w:val="00BC266E"/>
    <w:rsid w:val="00BD02E0"/>
    <w:rsid w:val="00BD19D6"/>
    <w:rsid w:val="00BD1AA7"/>
    <w:rsid w:val="00BD5212"/>
    <w:rsid w:val="00BF3367"/>
    <w:rsid w:val="00BF4D9B"/>
    <w:rsid w:val="00BF52BD"/>
    <w:rsid w:val="00C060FE"/>
    <w:rsid w:val="00C20436"/>
    <w:rsid w:val="00C240AF"/>
    <w:rsid w:val="00C25F1D"/>
    <w:rsid w:val="00C525AB"/>
    <w:rsid w:val="00C603FA"/>
    <w:rsid w:val="00C7146C"/>
    <w:rsid w:val="00C735DD"/>
    <w:rsid w:val="00C7561F"/>
    <w:rsid w:val="00C82B88"/>
    <w:rsid w:val="00C90EE8"/>
    <w:rsid w:val="00CA18EA"/>
    <w:rsid w:val="00CA1E91"/>
    <w:rsid w:val="00CA739C"/>
    <w:rsid w:val="00CB17F9"/>
    <w:rsid w:val="00CB1902"/>
    <w:rsid w:val="00CB52D1"/>
    <w:rsid w:val="00CB6F90"/>
    <w:rsid w:val="00CD27C8"/>
    <w:rsid w:val="00CE19D7"/>
    <w:rsid w:val="00CE2568"/>
    <w:rsid w:val="00CE2C5E"/>
    <w:rsid w:val="00CF0E3A"/>
    <w:rsid w:val="00CF321F"/>
    <w:rsid w:val="00D01630"/>
    <w:rsid w:val="00D15CC7"/>
    <w:rsid w:val="00D1645E"/>
    <w:rsid w:val="00D2124E"/>
    <w:rsid w:val="00D339F1"/>
    <w:rsid w:val="00D33F1D"/>
    <w:rsid w:val="00D37006"/>
    <w:rsid w:val="00D37A12"/>
    <w:rsid w:val="00D4530F"/>
    <w:rsid w:val="00D47D29"/>
    <w:rsid w:val="00D543AA"/>
    <w:rsid w:val="00D66DD2"/>
    <w:rsid w:val="00D76696"/>
    <w:rsid w:val="00D82219"/>
    <w:rsid w:val="00D91ADB"/>
    <w:rsid w:val="00D97ACC"/>
    <w:rsid w:val="00DB12CC"/>
    <w:rsid w:val="00DB7BE8"/>
    <w:rsid w:val="00DB7FC4"/>
    <w:rsid w:val="00DC3060"/>
    <w:rsid w:val="00DD7BAD"/>
    <w:rsid w:val="00DF45C1"/>
    <w:rsid w:val="00DF6198"/>
    <w:rsid w:val="00E10472"/>
    <w:rsid w:val="00E15234"/>
    <w:rsid w:val="00E302AB"/>
    <w:rsid w:val="00E37DC8"/>
    <w:rsid w:val="00E4143C"/>
    <w:rsid w:val="00E4212B"/>
    <w:rsid w:val="00E42629"/>
    <w:rsid w:val="00E612C9"/>
    <w:rsid w:val="00E62E62"/>
    <w:rsid w:val="00E75C0F"/>
    <w:rsid w:val="00E81473"/>
    <w:rsid w:val="00E815FF"/>
    <w:rsid w:val="00E83A40"/>
    <w:rsid w:val="00E8508A"/>
    <w:rsid w:val="00E876A3"/>
    <w:rsid w:val="00E94BE2"/>
    <w:rsid w:val="00EB0DDA"/>
    <w:rsid w:val="00EE2727"/>
    <w:rsid w:val="00EE5566"/>
    <w:rsid w:val="00EF1806"/>
    <w:rsid w:val="00F006E7"/>
    <w:rsid w:val="00F15151"/>
    <w:rsid w:val="00F33FCE"/>
    <w:rsid w:val="00F417A8"/>
    <w:rsid w:val="00F5062E"/>
    <w:rsid w:val="00F507FA"/>
    <w:rsid w:val="00F5184B"/>
    <w:rsid w:val="00F75D3D"/>
    <w:rsid w:val="00F75E1B"/>
    <w:rsid w:val="00F770C6"/>
    <w:rsid w:val="00F83C0E"/>
    <w:rsid w:val="00F87394"/>
    <w:rsid w:val="00F87EC0"/>
    <w:rsid w:val="00F94251"/>
    <w:rsid w:val="00FA0F57"/>
    <w:rsid w:val="00FC2161"/>
    <w:rsid w:val="00FC548E"/>
    <w:rsid w:val="00FE1DD6"/>
    <w:rsid w:val="00FE2D95"/>
    <w:rsid w:val="00FE571A"/>
    <w:rsid w:val="00FE73A3"/>
    <w:rsid w:val="011B6997"/>
    <w:rsid w:val="012B64AF"/>
    <w:rsid w:val="012F2326"/>
    <w:rsid w:val="01353A2A"/>
    <w:rsid w:val="013B6C46"/>
    <w:rsid w:val="014224FB"/>
    <w:rsid w:val="014D4677"/>
    <w:rsid w:val="0156352C"/>
    <w:rsid w:val="01575141"/>
    <w:rsid w:val="0167033F"/>
    <w:rsid w:val="016D4D19"/>
    <w:rsid w:val="017D7F35"/>
    <w:rsid w:val="01812ACD"/>
    <w:rsid w:val="01896C15"/>
    <w:rsid w:val="01980DE1"/>
    <w:rsid w:val="01A85D51"/>
    <w:rsid w:val="01C42B8B"/>
    <w:rsid w:val="01D9765D"/>
    <w:rsid w:val="01E66FA5"/>
    <w:rsid w:val="01E74ACC"/>
    <w:rsid w:val="01F01E3C"/>
    <w:rsid w:val="01F9035B"/>
    <w:rsid w:val="02006491"/>
    <w:rsid w:val="02056680"/>
    <w:rsid w:val="02063F60"/>
    <w:rsid w:val="02087082"/>
    <w:rsid w:val="021363A2"/>
    <w:rsid w:val="021A1CDD"/>
    <w:rsid w:val="021D759A"/>
    <w:rsid w:val="022C1CA1"/>
    <w:rsid w:val="02306473"/>
    <w:rsid w:val="024C492F"/>
    <w:rsid w:val="02685C0C"/>
    <w:rsid w:val="02736B92"/>
    <w:rsid w:val="027432B5"/>
    <w:rsid w:val="02785724"/>
    <w:rsid w:val="028247F4"/>
    <w:rsid w:val="02AC5A72"/>
    <w:rsid w:val="02B70580"/>
    <w:rsid w:val="02BF101D"/>
    <w:rsid w:val="02CA5022"/>
    <w:rsid w:val="02D91DBA"/>
    <w:rsid w:val="02E1151B"/>
    <w:rsid w:val="02F019DF"/>
    <w:rsid w:val="030D350D"/>
    <w:rsid w:val="031F2043"/>
    <w:rsid w:val="03200A08"/>
    <w:rsid w:val="03231B33"/>
    <w:rsid w:val="033C234C"/>
    <w:rsid w:val="034339E7"/>
    <w:rsid w:val="0346233D"/>
    <w:rsid w:val="034E144E"/>
    <w:rsid w:val="03507CD7"/>
    <w:rsid w:val="035A410F"/>
    <w:rsid w:val="035D3297"/>
    <w:rsid w:val="035D7E14"/>
    <w:rsid w:val="036E5B30"/>
    <w:rsid w:val="03786F9A"/>
    <w:rsid w:val="037F73E0"/>
    <w:rsid w:val="0381685A"/>
    <w:rsid w:val="039424ED"/>
    <w:rsid w:val="039B5B6E"/>
    <w:rsid w:val="03B10EED"/>
    <w:rsid w:val="03C545F8"/>
    <w:rsid w:val="03CE7CF1"/>
    <w:rsid w:val="03D46058"/>
    <w:rsid w:val="03F4702C"/>
    <w:rsid w:val="03F97C93"/>
    <w:rsid w:val="03FB660C"/>
    <w:rsid w:val="040000C7"/>
    <w:rsid w:val="04075685"/>
    <w:rsid w:val="04081E8D"/>
    <w:rsid w:val="04090D29"/>
    <w:rsid w:val="04093818"/>
    <w:rsid w:val="040E27E3"/>
    <w:rsid w:val="041B280B"/>
    <w:rsid w:val="04223B99"/>
    <w:rsid w:val="045E5487"/>
    <w:rsid w:val="045F50B9"/>
    <w:rsid w:val="04654DC4"/>
    <w:rsid w:val="047807BD"/>
    <w:rsid w:val="04826D2E"/>
    <w:rsid w:val="04854128"/>
    <w:rsid w:val="049C1B9D"/>
    <w:rsid w:val="04A15406"/>
    <w:rsid w:val="04A9250C"/>
    <w:rsid w:val="04C9495C"/>
    <w:rsid w:val="04EA0483"/>
    <w:rsid w:val="04FC440F"/>
    <w:rsid w:val="05080FE1"/>
    <w:rsid w:val="050F5C84"/>
    <w:rsid w:val="05154705"/>
    <w:rsid w:val="051B6ABC"/>
    <w:rsid w:val="053F4A94"/>
    <w:rsid w:val="05595CE0"/>
    <w:rsid w:val="05810A13"/>
    <w:rsid w:val="05834B0B"/>
    <w:rsid w:val="058A7125"/>
    <w:rsid w:val="059D15B0"/>
    <w:rsid w:val="05B72A07"/>
    <w:rsid w:val="05C075FF"/>
    <w:rsid w:val="05D617A2"/>
    <w:rsid w:val="05E277B3"/>
    <w:rsid w:val="06273980"/>
    <w:rsid w:val="065B15E4"/>
    <w:rsid w:val="06935222"/>
    <w:rsid w:val="06DA6BBB"/>
    <w:rsid w:val="06E4676F"/>
    <w:rsid w:val="06EE06AA"/>
    <w:rsid w:val="06F04422"/>
    <w:rsid w:val="06F131F4"/>
    <w:rsid w:val="06F72F70"/>
    <w:rsid w:val="070C018F"/>
    <w:rsid w:val="072177FA"/>
    <w:rsid w:val="07270173"/>
    <w:rsid w:val="072F7455"/>
    <w:rsid w:val="074958E1"/>
    <w:rsid w:val="075E2523"/>
    <w:rsid w:val="07634BF4"/>
    <w:rsid w:val="0768220B"/>
    <w:rsid w:val="079C1EB4"/>
    <w:rsid w:val="07B61CB8"/>
    <w:rsid w:val="07BB6140"/>
    <w:rsid w:val="07CA29BC"/>
    <w:rsid w:val="07CB4548"/>
    <w:rsid w:val="082E2BFB"/>
    <w:rsid w:val="08440C59"/>
    <w:rsid w:val="0854278F"/>
    <w:rsid w:val="08641CC7"/>
    <w:rsid w:val="08654A98"/>
    <w:rsid w:val="086F1AAE"/>
    <w:rsid w:val="0875255A"/>
    <w:rsid w:val="087A47B7"/>
    <w:rsid w:val="089701CB"/>
    <w:rsid w:val="08A3504F"/>
    <w:rsid w:val="08AA0601"/>
    <w:rsid w:val="08BC1BEA"/>
    <w:rsid w:val="08E91129"/>
    <w:rsid w:val="08F301FA"/>
    <w:rsid w:val="08FD4BD5"/>
    <w:rsid w:val="09087457"/>
    <w:rsid w:val="092B34F0"/>
    <w:rsid w:val="092C7594"/>
    <w:rsid w:val="092F499C"/>
    <w:rsid w:val="09552A1A"/>
    <w:rsid w:val="095C7B4D"/>
    <w:rsid w:val="096B4234"/>
    <w:rsid w:val="097C3D4B"/>
    <w:rsid w:val="098D5F59"/>
    <w:rsid w:val="09AA4D5C"/>
    <w:rsid w:val="09B43CFC"/>
    <w:rsid w:val="09B63701"/>
    <w:rsid w:val="09C556F2"/>
    <w:rsid w:val="09D26E62"/>
    <w:rsid w:val="09DB5B25"/>
    <w:rsid w:val="09F233E4"/>
    <w:rsid w:val="09F45FD8"/>
    <w:rsid w:val="0A0919C8"/>
    <w:rsid w:val="0A2C2EEF"/>
    <w:rsid w:val="0A3C3652"/>
    <w:rsid w:val="0A4422E6"/>
    <w:rsid w:val="0A4D7496"/>
    <w:rsid w:val="0A535D72"/>
    <w:rsid w:val="0A54477F"/>
    <w:rsid w:val="0A6424AA"/>
    <w:rsid w:val="0A782765"/>
    <w:rsid w:val="0A872580"/>
    <w:rsid w:val="0A922945"/>
    <w:rsid w:val="0AA232CA"/>
    <w:rsid w:val="0AB063A2"/>
    <w:rsid w:val="0AB441DD"/>
    <w:rsid w:val="0AB7791E"/>
    <w:rsid w:val="0AC363C3"/>
    <w:rsid w:val="0AC52104"/>
    <w:rsid w:val="0AD007F3"/>
    <w:rsid w:val="0AE20526"/>
    <w:rsid w:val="0AFD59E8"/>
    <w:rsid w:val="0B0E7430"/>
    <w:rsid w:val="0B16263E"/>
    <w:rsid w:val="0B1C6746"/>
    <w:rsid w:val="0B3346F8"/>
    <w:rsid w:val="0B505490"/>
    <w:rsid w:val="0B5A78B0"/>
    <w:rsid w:val="0B84338B"/>
    <w:rsid w:val="0B88648F"/>
    <w:rsid w:val="0B8C5B00"/>
    <w:rsid w:val="0BA852CC"/>
    <w:rsid w:val="0BAB2C6B"/>
    <w:rsid w:val="0BB308A8"/>
    <w:rsid w:val="0BB377CC"/>
    <w:rsid w:val="0BC652D4"/>
    <w:rsid w:val="0BC92398"/>
    <w:rsid w:val="0BD04822"/>
    <w:rsid w:val="0C086D31"/>
    <w:rsid w:val="0C1C1816"/>
    <w:rsid w:val="0C1E10EA"/>
    <w:rsid w:val="0C2801BA"/>
    <w:rsid w:val="0C583F4F"/>
    <w:rsid w:val="0C594818"/>
    <w:rsid w:val="0C854F74"/>
    <w:rsid w:val="0C8D448A"/>
    <w:rsid w:val="0C9C07F3"/>
    <w:rsid w:val="0CA44BB9"/>
    <w:rsid w:val="0CAF4C1E"/>
    <w:rsid w:val="0CB657C6"/>
    <w:rsid w:val="0CEF29C2"/>
    <w:rsid w:val="0CF1143A"/>
    <w:rsid w:val="0D0F23F9"/>
    <w:rsid w:val="0D18022F"/>
    <w:rsid w:val="0D352B8F"/>
    <w:rsid w:val="0D604782"/>
    <w:rsid w:val="0D7E2098"/>
    <w:rsid w:val="0D921D8F"/>
    <w:rsid w:val="0D9A5116"/>
    <w:rsid w:val="0DC10816"/>
    <w:rsid w:val="0DDF724E"/>
    <w:rsid w:val="0E097B78"/>
    <w:rsid w:val="0E1E05C2"/>
    <w:rsid w:val="0E4824D5"/>
    <w:rsid w:val="0E4B1F3E"/>
    <w:rsid w:val="0E7517F7"/>
    <w:rsid w:val="0E7E0566"/>
    <w:rsid w:val="0E811E04"/>
    <w:rsid w:val="0E8B348C"/>
    <w:rsid w:val="0EAA714E"/>
    <w:rsid w:val="0EAF40A4"/>
    <w:rsid w:val="0EB14497"/>
    <w:rsid w:val="0F044E32"/>
    <w:rsid w:val="0F0D5446"/>
    <w:rsid w:val="0F13767A"/>
    <w:rsid w:val="0F1C7FBA"/>
    <w:rsid w:val="0F1E743F"/>
    <w:rsid w:val="0F3B6457"/>
    <w:rsid w:val="0F4E32A6"/>
    <w:rsid w:val="0F5848BD"/>
    <w:rsid w:val="0F670FFA"/>
    <w:rsid w:val="0F8E2A2A"/>
    <w:rsid w:val="0F9926E7"/>
    <w:rsid w:val="0FAE3FC6"/>
    <w:rsid w:val="0FB81855"/>
    <w:rsid w:val="0FF46D31"/>
    <w:rsid w:val="10063C9D"/>
    <w:rsid w:val="102D3FF1"/>
    <w:rsid w:val="103D5E34"/>
    <w:rsid w:val="10480E2B"/>
    <w:rsid w:val="10501A8E"/>
    <w:rsid w:val="10553911"/>
    <w:rsid w:val="1057425B"/>
    <w:rsid w:val="108A625F"/>
    <w:rsid w:val="108D4A90"/>
    <w:rsid w:val="109D1177"/>
    <w:rsid w:val="109D7554"/>
    <w:rsid w:val="10A02A15"/>
    <w:rsid w:val="10AF7231"/>
    <w:rsid w:val="10C20BDE"/>
    <w:rsid w:val="10C64A93"/>
    <w:rsid w:val="10CD7582"/>
    <w:rsid w:val="10D75C7A"/>
    <w:rsid w:val="10E862E9"/>
    <w:rsid w:val="10FF266F"/>
    <w:rsid w:val="11103C0E"/>
    <w:rsid w:val="112C30E3"/>
    <w:rsid w:val="113F2C36"/>
    <w:rsid w:val="114D5EA6"/>
    <w:rsid w:val="115010AA"/>
    <w:rsid w:val="11525363"/>
    <w:rsid w:val="117074AB"/>
    <w:rsid w:val="11823EC9"/>
    <w:rsid w:val="118306C9"/>
    <w:rsid w:val="118A0054"/>
    <w:rsid w:val="119D6F55"/>
    <w:rsid w:val="11A025A1"/>
    <w:rsid w:val="11A622AD"/>
    <w:rsid w:val="11D270F0"/>
    <w:rsid w:val="11F72B09"/>
    <w:rsid w:val="11F80DE2"/>
    <w:rsid w:val="120B2110"/>
    <w:rsid w:val="120B37DD"/>
    <w:rsid w:val="121365E2"/>
    <w:rsid w:val="121865DB"/>
    <w:rsid w:val="12376F50"/>
    <w:rsid w:val="125A3098"/>
    <w:rsid w:val="1268446E"/>
    <w:rsid w:val="128959F9"/>
    <w:rsid w:val="12A762DD"/>
    <w:rsid w:val="12AB5BAD"/>
    <w:rsid w:val="12B75DF4"/>
    <w:rsid w:val="12C01D80"/>
    <w:rsid w:val="12C20F3D"/>
    <w:rsid w:val="12CF28EA"/>
    <w:rsid w:val="12DA0C7B"/>
    <w:rsid w:val="12DA63E4"/>
    <w:rsid w:val="12DE7825"/>
    <w:rsid w:val="12FA35D5"/>
    <w:rsid w:val="130725D3"/>
    <w:rsid w:val="13144FF5"/>
    <w:rsid w:val="131B347E"/>
    <w:rsid w:val="13217712"/>
    <w:rsid w:val="1345430C"/>
    <w:rsid w:val="13575D25"/>
    <w:rsid w:val="13650A8D"/>
    <w:rsid w:val="137848FD"/>
    <w:rsid w:val="13855EF2"/>
    <w:rsid w:val="13897791"/>
    <w:rsid w:val="13966A26"/>
    <w:rsid w:val="13AD3B74"/>
    <w:rsid w:val="13AE44D6"/>
    <w:rsid w:val="13B30CB1"/>
    <w:rsid w:val="13B31ABA"/>
    <w:rsid w:val="13B642FE"/>
    <w:rsid w:val="13CA23F4"/>
    <w:rsid w:val="13DB3D64"/>
    <w:rsid w:val="13F35552"/>
    <w:rsid w:val="14005739"/>
    <w:rsid w:val="14215C1B"/>
    <w:rsid w:val="14230FDB"/>
    <w:rsid w:val="142440E9"/>
    <w:rsid w:val="14263231"/>
    <w:rsid w:val="143A51C2"/>
    <w:rsid w:val="143C4803"/>
    <w:rsid w:val="14406342"/>
    <w:rsid w:val="14575AE1"/>
    <w:rsid w:val="145A0742"/>
    <w:rsid w:val="145A45EF"/>
    <w:rsid w:val="14636234"/>
    <w:rsid w:val="146B158C"/>
    <w:rsid w:val="146D2C0E"/>
    <w:rsid w:val="146F6ED9"/>
    <w:rsid w:val="14787805"/>
    <w:rsid w:val="147A6014"/>
    <w:rsid w:val="14874324"/>
    <w:rsid w:val="148B29AC"/>
    <w:rsid w:val="148D3B44"/>
    <w:rsid w:val="149B1239"/>
    <w:rsid w:val="149E726C"/>
    <w:rsid w:val="14B051F1"/>
    <w:rsid w:val="14C3401F"/>
    <w:rsid w:val="14CB5B87"/>
    <w:rsid w:val="14D233B9"/>
    <w:rsid w:val="14D964F6"/>
    <w:rsid w:val="14DC7147"/>
    <w:rsid w:val="14DD6AB1"/>
    <w:rsid w:val="14E65987"/>
    <w:rsid w:val="14EF0366"/>
    <w:rsid w:val="15064E11"/>
    <w:rsid w:val="15077C21"/>
    <w:rsid w:val="151933DC"/>
    <w:rsid w:val="15221E3A"/>
    <w:rsid w:val="15395051"/>
    <w:rsid w:val="154C41C9"/>
    <w:rsid w:val="15666C74"/>
    <w:rsid w:val="156758B0"/>
    <w:rsid w:val="157C59CB"/>
    <w:rsid w:val="15813164"/>
    <w:rsid w:val="158F12AA"/>
    <w:rsid w:val="1594241D"/>
    <w:rsid w:val="15AD1A1E"/>
    <w:rsid w:val="15B522B5"/>
    <w:rsid w:val="15BF393E"/>
    <w:rsid w:val="15F4486A"/>
    <w:rsid w:val="15FB249C"/>
    <w:rsid w:val="161D08F6"/>
    <w:rsid w:val="16223ECC"/>
    <w:rsid w:val="16352BFB"/>
    <w:rsid w:val="163B5EF6"/>
    <w:rsid w:val="163F682C"/>
    <w:rsid w:val="165670FA"/>
    <w:rsid w:val="16574DC3"/>
    <w:rsid w:val="165C45E3"/>
    <w:rsid w:val="166B02B3"/>
    <w:rsid w:val="16775FC6"/>
    <w:rsid w:val="16881F81"/>
    <w:rsid w:val="16A91903"/>
    <w:rsid w:val="16AB3EC2"/>
    <w:rsid w:val="16C42324"/>
    <w:rsid w:val="16CA6972"/>
    <w:rsid w:val="16DB6AC8"/>
    <w:rsid w:val="16F50F8E"/>
    <w:rsid w:val="17046E47"/>
    <w:rsid w:val="170767D7"/>
    <w:rsid w:val="17125CEF"/>
    <w:rsid w:val="17194003"/>
    <w:rsid w:val="171A4BA4"/>
    <w:rsid w:val="171E4694"/>
    <w:rsid w:val="172A128B"/>
    <w:rsid w:val="17322132"/>
    <w:rsid w:val="174170AE"/>
    <w:rsid w:val="17457FF3"/>
    <w:rsid w:val="174B2942"/>
    <w:rsid w:val="17530E55"/>
    <w:rsid w:val="17544559"/>
    <w:rsid w:val="17604491"/>
    <w:rsid w:val="176A78D9"/>
    <w:rsid w:val="1787048B"/>
    <w:rsid w:val="17A0779F"/>
    <w:rsid w:val="17D810AE"/>
    <w:rsid w:val="17EC0DC4"/>
    <w:rsid w:val="17F378CF"/>
    <w:rsid w:val="17FF4DE1"/>
    <w:rsid w:val="181066D2"/>
    <w:rsid w:val="18135A10"/>
    <w:rsid w:val="18166994"/>
    <w:rsid w:val="182E5501"/>
    <w:rsid w:val="183F0D66"/>
    <w:rsid w:val="184503DD"/>
    <w:rsid w:val="187A2E35"/>
    <w:rsid w:val="187A458C"/>
    <w:rsid w:val="187D188E"/>
    <w:rsid w:val="187F72BD"/>
    <w:rsid w:val="1888270D"/>
    <w:rsid w:val="188D4CD8"/>
    <w:rsid w:val="18A33B3A"/>
    <w:rsid w:val="18AD4E72"/>
    <w:rsid w:val="18C456D6"/>
    <w:rsid w:val="18E76248"/>
    <w:rsid w:val="18EB4A4A"/>
    <w:rsid w:val="18F8085D"/>
    <w:rsid w:val="19172BA4"/>
    <w:rsid w:val="191A68BE"/>
    <w:rsid w:val="191D0881"/>
    <w:rsid w:val="19255AA8"/>
    <w:rsid w:val="192D5062"/>
    <w:rsid w:val="19444F9B"/>
    <w:rsid w:val="19491AD2"/>
    <w:rsid w:val="194B7296"/>
    <w:rsid w:val="19573E8D"/>
    <w:rsid w:val="19574DA2"/>
    <w:rsid w:val="19607444"/>
    <w:rsid w:val="19631E3E"/>
    <w:rsid w:val="196640D0"/>
    <w:rsid w:val="196F7429"/>
    <w:rsid w:val="19744A3F"/>
    <w:rsid w:val="197D570A"/>
    <w:rsid w:val="19AF1F92"/>
    <w:rsid w:val="19B7283D"/>
    <w:rsid w:val="19C340D1"/>
    <w:rsid w:val="19C72AD7"/>
    <w:rsid w:val="19D5046D"/>
    <w:rsid w:val="19D652F0"/>
    <w:rsid w:val="19E463B7"/>
    <w:rsid w:val="19F945AB"/>
    <w:rsid w:val="1A09162B"/>
    <w:rsid w:val="1A226249"/>
    <w:rsid w:val="1A2745F6"/>
    <w:rsid w:val="1A331BC8"/>
    <w:rsid w:val="1A4D07B2"/>
    <w:rsid w:val="1A866D57"/>
    <w:rsid w:val="1A902A9F"/>
    <w:rsid w:val="1A9609E5"/>
    <w:rsid w:val="1A9D7434"/>
    <w:rsid w:val="1AA475A6"/>
    <w:rsid w:val="1AB62E35"/>
    <w:rsid w:val="1AE9320B"/>
    <w:rsid w:val="1AEE0F9B"/>
    <w:rsid w:val="1AEE25CF"/>
    <w:rsid w:val="1AF8344E"/>
    <w:rsid w:val="1B0F40F3"/>
    <w:rsid w:val="1B101B75"/>
    <w:rsid w:val="1B146AEA"/>
    <w:rsid w:val="1B23545B"/>
    <w:rsid w:val="1B300E3A"/>
    <w:rsid w:val="1B4B7A22"/>
    <w:rsid w:val="1B664B02"/>
    <w:rsid w:val="1B7A5529"/>
    <w:rsid w:val="1B84300E"/>
    <w:rsid w:val="1B914294"/>
    <w:rsid w:val="1B971DA2"/>
    <w:rsid w:val="1B9C577E"/>
    <w:rsid w:val="1B9D11E0"/>
    <w:rsid w:val="1BAE4EF6"/>
    <w:rsid w:val="1BC036D3"/>
    <w:rsid w:val="1BC65E20"/>
    <w:rsid w:val="1BC90FA3"/>
    <w:rsid w:val="1BCF0601"/>
    <w:rsid w:val="1BF65BDF"/>
    <w:rsid w:val="1C121E3C"/>
    <w:rsid w:val="1C161DDD"/>
    <w:rsid w:val="1C185CB2"/>
    <w:rsid w:val="1C197E29"/>
    <w:rsid w:val="1C26713F"/>
    <w:rsid w:val="1C273FEB"/>
    <w:rsid w:val="1C275D99"/>
    <w:rsid w:val="1C2A3ADB"/>
    <w:rsid w:val="1C442B27"/>
    <w:rsid w:val="1C4D157D"/>
    <w:rsid w:val="1C580648"/>
    <w:rsid w:val="1C60574F"/>
    <w:rsid w:val="1C606892"/>
    <w:rsid w:val="1C65279B"/>
    <w:rsid w:val="1C6E5F6A"/>
    <w:rsid w:val="1C9D42AD"/>
    <w:rsid w:val="1C9E64A9"/>
    <w:rsid w:val="1CA218C3"/>
    <w:rsid w:val="1CA46319"/>
    <w:rsid w:val="1CA93E55"/>
    <w:rsid w:val="1CAA4BB8"/>
    <w:rsid w:val="1CB129EE"/>
    <w:rsid w:val="1CB82E95"/>
    <w:rsid w:val="1CBA6C0D"/>
    <w:rsid w:val="1CC655B2"/>
    <w:rsid w:val="1CCC06EE"/>
    <w:rsid w:val="1CE13392"/>
    <w:rsid w:val="1D036806"/>
    <w:rsid w:val="1D04432C"/>
    <w:rsid w:val="1D1125BF"/>
    <w:rsid w:val="1D1A3B4F"/>
    <w:rsid w:val="1D2C2332"/>
    <w:rsid w:val="1D42642D"/>
    <w:rsid w:val="1D4C5C59"/>
    <w:rsid w:val="1D5531CE"/>
    <w:rsid w:val="1D830AFE"/>
    <w:rsid w:val="1D8334A3"/>
    <w:rsid w:val="1D880AB9"/>
    <w:rsid w:val="1D921938"/>
    <w:rsid w:val="1DA61B10"/>
    <w:rsid w:val="1DAC0B17"/>
    <w:rsid w:val="1DAC712C"/>
    <w:rsid w:val="1DB34064"/>
    <w:rsid w:val="1DB775F0"/>
    <w:rsid w:val="1DBE2C9C"/>
    <w:rsid w:val="1DC61ECC"/>
    <w:rsid w:val="1DD030C8"/>
    <w:rsid w:val="1DE24140"/>
    <w:rsid w:val="1DF779ED"/>
    <w:rsid w:val="1DF83E91"/>
    <w:rsid w:val="1E025426"/>
    <w:rsid w:val="1E0445B0"/>
    <w:rsid w:val="1E0839A8"/>
    <w:rsid w:val="1E0A0261"/>
    <w:rsid w:val="1E12725C"/>
    <w:rsid w:val="1E236A34"/>
    <w:rsid w:val="1E3B3D7D"/>
    <w:rsid w:val="1E3D59C7"/>
    <w:rsid w:val="1E4B1938"/>
    <w:rsid w:val="1E4C5F8A"/>
    <w:rsid w:val="1E704015"/>
    <w:rsid w:val="1E7B23CC"/>
    <w:rsid w:val="1E937715"/>
    <w:rsid w:val="1E9F61B6"/>
    <w:rsid w:val="1EAD3B5F"/>
    <w:rsid w:val="1EAE454F"/>
    <w:rsid w:val="1EB06519"/>
    <w:rsid w:val="1EB853CE"/>
    <w:rsid w:val="1EC552E1"/>
    <w:rsid w:val="1ECB4E14"/>
    <w:rsid w:val="1ED1030F"/>
    <w:rsid w:val="1ED744A9"/>
    <w:rsid w:val="1EDF6DFF"/>
    <w:rsid w:val="1F003FE9"/>
    <w:rsid w:val="1F130856"/>
    <w:rsid w:val="1F1F614F"/>
    <w:rsid w:val="1F1F71FB"/>
    <w:rsid w:val="1F332CA6"/>
    <w:rsid w:val="1F447B9E"/>
    <w:rsid w:val="1F455D9A"/>
    <w:rsid w:val="1F543A73"/>
    <w:rsid w:val="1F711DBC"/>
    <w:rsid w:val="1F8D4ED2"/>
    <w:rsid w:val="1FB75A76"/>
    <w:rsid w:val="1FB9701B"/>
    <w:rsid w:val="1FBF69A5"/>
    <w:rsid w:val="1FC56DA0"/>
    <w:rsid w:val="1FCB040E"/>
    <w:rsid w:val="1FCF29CF"/>
    <w:rsid w:val="1FD05B6A"/>
    <w:rsid w:val="1FD37A90"/>
    <w:rsid w:val="1FE65F6B"/>
    <w:rsid w:val="1FFC27C6"/>
    <w:rsid w:val="200408F1"/>
    <w:rsid w:val="20074B9B"/>
    <w:rsid w:val="20502A11"/>
    <w:rsid w:val="20653333"/>
    <w:rsid w:val="2068642A"/>
    <w:rsid w:val="208C66DF"/>
    <w:rsid w:val="20904739"/>
    <w:rsid w:val="20AE4CDA"/>
    <w:rsid w:val="20AE4FA9"/>
    <w:rsid w:val="20B61DE1"/>
    <w:rsid w:val="20C31E08"/>
    <w:rsid w:val="20CF5FBD"/>
    <w:rsid w:val="20DB53A4"/>
    <w:rsid w:val="20E33285"/>
    <w:rsid w:val="20FF110B"/>
    <w:rsid w:val="21086492"/>
    <w:rsid w:val="210A1CDC"/>
    <w:rsid w:val="21103DAF"/>
    <w:rsid w:val="212E5E1B"/>
    <w:rsid w:val="213C0B75"/>
    <w:rsid w:val="213C3913"/>
    <w:rsid w:val="21641254"/>
    <w:rsid w:val="21653D89"/>
    <w:rsid w:val="216764A4"/>
    <w:rsid w:val="217F7880"/>
    <w:rsid w:val="2193780B"/>
    <w:rsid w:val="21A67760"/>
    <w:rsid w:val="21D44D8B"/>
    <w:rsid w:val="21E13B66"/>
    <w:rsid w:val="21E420DE"/>
    <w:rsid w:val="21E914AE"/>
    <w:rsid w:val="21ED35E0"/>
    <w:rsid w:val="21F3665C"/>
    <w:rsid w:val="21F4671D"/>
    <w:rsid w:val="220D77DF"/>
    <w:rsid w:val="221C2118"/>
    <w:rsid w:val="221E4B49"/>
    <w:rsid w:val="223C34B6"/>
    <w:rsid w:val="22467649"/>
    <w:rsid w:val="224B2620"/>
    <w:rsid w:val="224F7DF7"/>
    <w:rsid w:val="22520EDD"/>
    <w:rsid w:val="225B679C"/>
    <w:rsid w:val="226E5C3F"/>
    <w:rsid w:val="227E248B"/>
    <w:rsid w:val="228810A3"/>
    <w:rsid w:val="22A3299D"/>
    <w:rsid w:val="22B063EF"/>
    <w:rsid w:val="22B20386"/>
    <w:rsid w:val="22B45EAC"/>
    <w:rsid w:val="22C24336"/>
    <w:rsid w:val="22D43A35"/>
    <w:rsid w:val="22D61BAE"/>
    <w:rsid w:val="22E51CE1"/>
    <w:rsid w:val="22EC5646"/>
    <w:rsid w:val="2302130E"/>
    <w:rsid w:val="2318643B"/>
    <w:rsid w:val="2322375E"/>
    <w:rsid w:val="23344615"/>
    <w:rsid w:val="23580F2E"/>
    <w:rsid w:val="23681B95"/>
    <w:rsid w:val="23963804"/>
    <w:rsid w:val="23B30DBF"/>
    <w:rsid w:val="23BF1F30"/>
    <w:rsid w:val="23C6058D"/>
    <w:rsid w:val="23C93F42"/>
    <w:rsid w:val="23F97876"/>
    <w:rsid w:val="240129E6"/>
    <w:rsid w:val="240366A5"/>
    <w:rsid w:val="24070FAE"/>
    <w:rsid w:val="240A2722"/>
    <w:rsid w:val="24112BAD"/>
    <w:rsid w:val="24195D26"/>
    <w:rsid w:val="24217571"/>
    <w:rsid w:val="24223CEC"/>
    <w:rsid w:val="242A28CA"/>
    <w:rsid w:val="24431BDE"/>
    <w:rsid w:val="244514B2"/>
    <w:rsid w:val="244A2F6C"/>
    <w:rsid w:val="244F0582"/>
    <w:rsid w:val="245E6D70"/>
    <w:rsid w:val="24637B8A"/>
    <w:rsid w:val="24A415E4"/>
    <w:rsid w:val="24B42C46"/>
    <w:rsid w:val="24C52E10"/>
    <w:rsid w:val="24CC73E4"/>
    <w:rsid w:val="24D72AFB"/>
    <w:rsid w:val="24DB2B05"/>
    <w:rsid w:val="24E8679A"/>
    <w:rsid w:val="24F345DA"/>
    <w:rsid w:val="2519453E"/>
    <w:rsid w:val="252358B5"/>
    <w:rsid w:val="252A68FA"/>
    <w:rsid w:val="252D34B0"/>
    <w:rsid w:val="252F3F10"/>
    <w:rsid w:val="25341526"/>
    <w:rsid w:val="253908EB"/>
    <w:rsid w:val="256328A5"/>
    <w:rsid w:val="25675F6C"/>
    <w:rsid w:val="258B4718"/>
    <w:rsid w:val="25965D3D"/>
    <w:rsid w:val="25AB17E9"/>
    <w:rsid w:val="25B03AC5"/>
    <w:rsid w:val="25B04B74"/>
    <w:rsid w:val="25BF65FB"/>
    <w:rsid w:val="25C63D87"/>
    <w:rsid w:val="25CD1596"/>
    <w:rsid w:val="25D52D09"/>
    <w:rsid w:val="25FA5C62"/>
    <w:rsid w:val="25FF10A8"/>
    <w:rsid w:val="26027C9D"/>
    <w:rsid w:val="26211AAB"/>
    <w:rsid w:val="263460FA"/>
    <w:rsid w:val="26421458"/>
    <w:rsid w:val="26485289"/>
    <w:rsid w:val="2651075D"/>
    <w:rsid w:val="26595B73"/>
    <w:rsid w:val="266320C3"/>
    <w:rsid w:val="26681488"/>
    <w:rsid w:val="268B675C"/>
    <w:rsid w:val="268F6EC0"/>
    <w:rsid w:val="269051A6"/>
    <w:rsid w:val="2692035D"/>
    <w:rsid w:val="269F0C21"/>
    <w:rsid w:val="26A40A4A"/>
    <w:rsid w:val="26C009EF"/>
    <w:rsid w:val="26CA3EF0"/>
    <w:rsid w:val="26CC10B7"/>
    <w:rsid w:val="26DD354F"/>
    <w:rsid w:val="26F251F5"/>
    <w:rsid w:val="27076EF2"/>
    <w:rsid w:val="27112725"/>
    <w:rsid w:val="27185B67"/>
    <w:rsid w:val="27392E24"/>
    <w:rsid w:val="274B7407"/>
    <w:rsid w:val="275859A0"/>
    <w:rsid w:val="27D05536"/>
    <w:rsid w:val="27DA506E"/>
    <w:rsid w:val="27DD30F2"/>
    <w:rsid w:val="27E014F2"/>
    <w:rsid w:val="27F356C9"/>
    <w:rsid w:val="27F5551A"/>
    <w:rsid w:val="28125B4B"/>
    <w:rsid w:val="282539D4"/>
    <w:rsid w:val="28326F12"/>
    <w:rsid w:val="285636DA"/>
    <w:rsid w:val="28595C3D"/>
    <w:rsid w:val="2867689A"/>
    <w:rsid w:val="286C2D61"/>
    <w:rsid w:val="28732366"/>
    <w:rsid w:val="2899001E"/>
    <w:rsid w:val="28B0474F"/>
    <w:rsid w:val="28B91818"/>
    <w:rsid w:val="28DA2BFC"/>
    <w:rsid w:val="28DF17A9"/>
    <w:rsid w:val="28E31299"/>
    <w:rsid w:val="28E76FDC"/>
    <w:rsid w:val="28EA087A"/>
    <w:rsid w:val="28F33BD2"/>
    <w:rsid w:val="290336EA"/>
    <w:rsid w:val="29106932"/>
    <w:rsid w:val="29365FC0"/>
    <w:rsid w:val="2941623D"/>
    <w:rsid w:val="29583A35"/>
    <w:rsid w:val="29634188"/>
    <w:rsid w:val="296341F3"/>
    <w:rsid w:val="29675FE9"/>
    <w:rsid w:val="29787C34"/>
    <w:rsid w:val="297B026F"/>
    <w:rsid w:val="29822828"/>
    <w:rsid w:val="29832529"/>
    <w:rsid w:val="29883BEF"/>
    <w:rsid w:val="299407E6"/>
    <w:rsid w:val="299C71CD"/>
    <w:rsid w:val="29AE7AF9"/>
    <w:rsid w:val="29B948CF"/>
    <w:rsid w:val="29D755F2"/>
    <w:rsid w:val="29F205DF"/>
    <w:rsid w:val="29FE7C75"/>
    <w:rsid w:val="2A070FB7"/>
    <w:rsid w:val="2A16751A"/>
    <w:rsid w:val="2A357DCE"/>
    <w:rsid w:val="2A40035E"/>
    <w:rsid w:val="2A51158D"/>
    <w:rsid w:val="2A557F75"/>
    <w:rsid w:val="2A587A65"/>
    <w:rsid w:val="2A852D3A"/>
    <w:rsid w:val="2A900193"/>
    <w:rsid w:val="2A9632EB"/>
    <w:rsid w:val="2A997AF3"/>
    <w:rsid w:val="2AA8279A"/>
    <w:rsid w:val="2ABC4498"/>
    <w:rsid w:val="2AC375D4"/>
    <w:rsid w:val="2AC8733D"/>
    <w:rsid w:val="2AF05EF0"/>
    <w:rsid w:val="2AFE685E"/>
    <w:rsid w:val="2AFF7497"/>
    <w:rsid w:val="2B0D4CF3"/>
    <w:rsid w:val="2B1C762F"/>
    <w:rsid w:val="2B286FB9"/>
    <w:rsid w:val="2B465B0F"/>
    <w:rsid w:val="2B536BAA"/>
    <w:rsid w:val="2B5E5693"/>
    <w:rsid w:val="2B65068C"/>
    <w:rsid w:val="2B6A7A50"/>
    <w:rsid w:val="2B6D334E"/>
    <w:rsid w:val="2B7164D1"/>
    <w:rsid w:val="2B726905"/>
    <w:rsid w:val="2B786611"/>
    <w:rsid w:val="2B992862"/>
    <w:rsid w:val="2BAC62BA"/>
    <w:rsid w:val="2BCE4483"/>
    <w:rsid w:val="2BD55811"/>
    <w:rsid w:val="2BEF7E0D"/>
    <w:rsid w:val="2C057779"/>
    <w:rsid w:val="2C176484"/>
    <w:rsid w:val="2C1A3C72"/>
    <w:rsid w:val="2C1E78EF"/>
    <w:rsid w:val="2C266206"/>
    <w:rsid w:val="2C2B3683"/>
    <w:rsid w:val="2C2C490C"/>
    <w:rsid w:val="2C3818FC"/>
    <w:rsid w:val="2C5A7AC4"/>
    <w:rsid w:val="2C6D7E80"/>
    <w:rsid w:val="2C6E3570"/>
    <w:rsid w:val="2C765D7F"/>
    <w:rsid w:val="2C78619D"/>
    <w:rsid w:val="2C8D1C48"/>
    <w:rsid w:val="2C8E07DF"/>
    <w:rsid w:val="2C991557"/>
    <w:rsid w:val="2C9917B7"/>
    <w:rsid w:val="2CC82C80"/>
    <w:rsid w:val="2CD3707B"/>
    <w:rsid w:val="2CDA0C05"/>
    <w:rsid w:val="2CFB185B"/>
    <w:rsid w:val="2D005CE3"/>
    <w:rsid w:val="2D1C003A"/>
    <w:rsid w:val="2D2D51D9"/>
    <w:rsid w:val="2D406CBA"/>
    <w:rsid w:val="2D5908D8"/>
    <w:rsid w:val="2D595FCE"/>
    <w:rsid w:val="2D776454"/>
    <w:rsid w:val="2D8A31E8"/>
    <w:rsid w:val="2D8C58C7"/>
    <w:rsid w:val="2D990AC0"/>
    <w:rsid w:val="2DB3570E"/>
    <w:rsid w:val="2DBA15FF"/>
    <w:rsid w:val="2DBB6416"/>
    <w:rsid w:val="2DE85248"/>
    <w:rsid w:val="2DEA131C"/>
    <w:rsid w:val="2DEA30CA"/>
    <w:rsid w:val="2DFA7A12"/>
    <w:rsid w:val="2E017B72"/>
    <w:rsid w:val="2E100D83"/>
    <w:rsid w:val="2E21375E"/>
    <w:rsid w:val="2E3305CD"/>
    <w:rsid w:val="2E3A5DFF"/>
    <w:rsid w:val="2E725FF9"/>
    <w:rsid w:val="2E84707B"/>
    <w:rsid w:val="2E8A53BF"/>
    <w:rsid w:val="2E982B26"/>
    <w:rsid w:val="2EA46394"/>
    <w:rsid w:val="2EB2312B"/>
    <w:rsid w:val="2EBE07DF"/>
    <w:rsid w:val="2EC15BD9"/>
    <w:rsid w:val="2EC35DF5"/>
    <w:rsid w:val="2EC549B6"/>
    <w:rsid w:val="2EDA4BB0"/>
    <w:rsid w:val="2EE6487F"/>
    <w:rsid w:val="2EE93102"/>
    <w:rsid w:val="2EF74B19"/>
    <w:rsid w:val="2EF8083C"/>
    <w:rsid w:val="2EFA10EB"/>
    <w:rsid w:val="2F005429"/>
    <w:rsid w:val="2F062BB5"/>
    <w:rsid w:val="2F0F2594"/>
    <w:rsid w:val="2F11754B"/>
    <w:rsid w:val="2F1F5CDD"/>
    <w:rsid w:val="2F227317"/>
    <w:rsid w:val="2F357E81"/>
    <w:rsid w:val="2F3E36CD"/>
    <w:rsid w:val="2F3F2279"/>
    <w:rsid w:val="2F454A5C"/>
    <w:rsid w:val="2F4A3E20"/>
    <w:rsid w:val="2F4D4719"/>
    <w:rsid w:val="2F4F58DB"/>
    <w:rsid w:val="2F656EAC"/>
    <w:rsid w:val="2F8C1EBB"/>
    <w:rsid w:val="2F9B66D8"/>
    <w:rsid w:val="2FB76FDC"/>
    <w:rsid w:val="2FBF7DE5"/>
    <w:rsid w:val="2FC63EED"/>
    <w:rsid w:val="2FDE0A0C"/>
    <w:rsid w:val="2FE35A4A"/>
    <w:rsid w:val="2FF975F4"/>
    <w:rsid w:val="301376D1"/>
    <w:rsid w:val="301663F8"/>
    <w:rsid w:val="304C1E1A"/>
    <w:rsid w:val="30702563"/>
    <w:rsid w:val="307801EF"/>
    <w:rsid w:val="309A0803"/>
    <w:rsid w:val="30DF243B"/>
    <w:rsid w:val="30E97669"/>
    <w:rsid w:val="310A0D01"/>
    <w:rsid w:val="311B1FF6"/>
    <w:rsid w:val="311D7D22"/>
    <w:rsid w:val="314176A7"/>
    <w:rsid w:val="315C372F"/>
    <w:rsid w:val="31630DD5"/>
    <w:rsid w:val="31766096"/>
    <w:rsid w:val="31777136"/>
    <w:rsid w:val="317A3487"/>
    <w:rsid w:val="318A1FD6"/>
    <w:rsid w:val="31943A79"/>
    <w:rsid w:val="31B5119A"/>
    <w:rsid w:val="31CC3212"/>
    <w:rsid w:val="31D05A28"/>
    <w:rsid w:val="31E83C8A"/>
    <w:rsid w:val="31E87920"/>
    <w:rsid w:val="31EA1D95"/>
    <w:rsid w:val="31F51F83"/>
    <w:rsid w:val="31F5248C"/>
    <w:rsid w:val="31FC5191"/>
    <w:rsid w:val="32042262"/>
    <w:rsid w:val="3204494D"/>
    <w:rsid w:val="321626E0"/>
    <w:rsid w:val="322C1F03"/>
    <w:rsid w:val="322C7BB2"/>
    <w:rsid w:val="323E2AE1"/>
    <w:rsid w:val="323F587B"/>
    <w:rsid w:val="32432DAD"/>
    <w:rsid w:val="32470A72"/>
    <w:rsid w:val="327A6DE4"/>
    <w:rsid w:val="328525BE"/>
    <w:rsid w:val="32A1016B"/>
    <w:rsid w:val="32BD5CB2"/>
    <w:rsid w:val="32C44BDA"/>
    <w:rsid w:val="32C53D74"/>
    <w:rsid w:val="32C75788"/>
    <w:rsid w:val="32CC4685"/>
    <w:rsid w:val="32D660CE"/>
    <w:rsid w:val="32F15114"/>
    <w:rsid w:val="32F47928"/>
    <w:rsid w:val="333252F7"/>
    <w:rsid w:val="33417A27"/>
    <w:rsid w:val="334254A8"/>
    <w:rsid w:val="33492641"/>
    <w:rsid w:val="336359DD"/>
    <w:rsid w:val="336404F3"/>
    <w:rsid w:val="336E43A9"/>
    <w:rsid w:val="33743B62"/>
    <w:rsid w:val="33751688"/>
    <w:rsid w:val="33770F5C"/>
    <w:rsid w:val="337E2669"/>
    <w:rsid w:val="33811673"/>
    <w:rsid w:val="33811DDB"/>
    <w:rsid w:val="33B757FC"/>
    <w:rsid w:val="33BE6FF0"/>
    <w:rsid w:val="33CA3782"/>
    <w:rsid w:val="33EC463C"/>
    <w:rsid w:val="33FE78CF"/>
    <w:rsid w:val="34367069"/>
    <w:rsid w:val="343B01DB"/>
    <w:rsid w:val="34453929"/>
    <w:rsid w:val="34572B3B"/>
    <w:rsid w:val="34656963"/>
    <w:rsid w:val="34733FC8"/>
    <w:rsid w:val="34790D04"/>
    <w:rsid w:val="34853B4C"/>
    <w:rsid w:val="349B3370"/>
    <w:rsid w:val="349B5EE8"/>
    <w:rsid w:val="34CB5A03"/>
    <w:rsid w:val="34D83F42"/>
    <w:rsid w:val="34F13EEA"/>
    <w:rsid w:val="34F2196C"/>
    <w:rsid w:val="34F62570"/>
    <w:rsid w:val="34FD53D4"/>
    <w:rsid w:val="350B4052"/>
    <w:rsid w:val="35196DED"/>
    <w:rsid w:val="354E03E2"/>
    <w:rsid w:val="3579793A"/>
    <w:rsid w:val="35824B8C"/>
    <w:rsid w:val="35985AA0"/>
    <w:rsid w:val="35A12A09"/>
    <w:rsid w:val="35A30613"/>
    <w:rsid w:val="35B361A6"/>
    <w:rsid w:val="35C830A0"/>
    <w:rsid w:val="35C8614C"/>
    <w:rsid w:val="35E43FB4"/>
    <w:rsid w:val="35E56EF2"/>
    <w:rsid w:val="35EB685A"/>
    <w:rsid w:val="35FC399A"/>
    <w:rsid w:val="36127845"/>
    <w:rsid w:val="362468AE"/>
    <w:rsid w:val="363C1679"/>
    <w:rsid w:val="363F3F24"/>
    <w:rsid w:val="36525CB0"/>
    <w:rsid w:val="36992FA1"/>
    <w:rsid w:val="36A673D8"/>
    <w:rsid w:val="36AE1AFA"/>
    <w:rsid w:val="36B77FD3"/>
    <w:rsid w:val="36C450EA"/>
    <w:rsid w:val="36C721FA"/>
    <w:rsid w:val="36D36DF1"/>
    <w:rsid w:val="36ED5C5D"/>
    <w:rsid w:val="36F24934"/>
    <w:rsid w:val="37031792"/>
    <w:rsid w:val="37036DCD"/>
    <w:rsid w:val="37130486"/>
    <w:rsid w:val="371C1C24"/>
    <w:rsid w:val="373B04F2"/>
    <w:rsid w:val="374D6BA3"/>
    <w:rsid w:val="37514465"/>
    <w:rsid w:val="376223E0"/>
    <w:rsid w:val="376E08C8"/>
    <w:rsid w:val="378D5AE2"/>
    <w:rsid w:val="37A147F9"/>
    <w:rsid w:val="37AB5C5D"/>
    <w:rsid w:val="37C30C14"/>
    <w:rsid w:val="37DC3A83"/>
    <w:rsid w:val="37F30DCD"/>
    <w:rsid w:val="38152D1C"/>
    <w:rsid w:val="381C20D2"/>
    <w:rsid w:val="382D0E39"/>
    <w:rsid w:val="3835613E"/>
    <w:rsid w:val="3842602C"/>
    <w:rsid w:val="38471845"/>
    <w:rsid w:val="38484A0B"/>
    <w:rsid w:val="38657F1D"/>
    <w:rsid w:val="386677F1"/>
    <w:rsid w:val="38685317"/>
    <w:rsid w:val="386E18A2"/>
    <w:rsid w:val="387106AA"/>
    <w:rsid w:val="388272B7"/>
    <w:rsid w:val="388E7474"/>
    <w:rsid w:val="389176E2"/>
    <w:rsid w:val="38934061"/>
    <w:rsid w:val="38953CE0"/>
    <w:rsid w:val="389A3768"/>
    <w:rsid w:val="38A547BD"/>
    <w:rsid w:val="38AF1497"/>
    <w:rsid w:val="38D34499"/>
    <w:rsid w:val="38F62A80"/>
    <w:rsid w:val="38F8712C"/>
    <w:rsid w:val="390B1576"/>
    <w:rsid w:val="391E61C3"/>
    <w:rsid w:val="392456E2"/>
    <w:rsid w:val="39331DC9"/>
    <w:rsid w:val="393414C9"/>
    <w:rsid w:val="39371D2B"/>
    <w:rsid w:val="39471299"/>
    <w:rsid w:val="3954669D"/>
    <w:rsid w:val="395C5CA8"/>
    <w:rsid w:val="395D3729"/>
    <w:rsid w:val="396C04C1"/>
    <w:rsid w:val="39743A48"/>
    <w:rsid w:val="39965EB4"/>
    <w:rsid w:val="399D7D96"/>
    <w:rsid w:val="39AE3FED"/>
    <w:rsid w:val="39C42A21"/>
    <w:rsid w:val="39CA4CB2"/>
    <w:rsid w:val="39CE564E"/>
    <w:rsid w:val="39D13674"/>
    <w:rsid w:val="39DA3FF3"/>
    <w:rsid w:val="39EB26A4"/>
    <w:rsid w:val="39F33306"/>
    <w:rsid w:val="39FF0D34"/>
    <w:rsid w:val="3A1439A9"/>
    <w:rsid w:val="3A1B40E2"/>
    <w:rsid w:val="3A29797A"/>
    <w:rsid w:val="3A331955"/>
    <w:rsid w:val="3A483652"/>
    <w:rsid w:val="3A6A3C67"/>
    <w:rsid w:val="3A6C5593"/>
    <w:rsid w:val="3A726921"/>
    <w:rsid w:val="3A751FF8"/>
    <w:rsid w:val="3A797CAF"/>
    <w:rsid w:val="3A8D6E84"/>
    <w:rsid w:val="3A9E227A"/>
    <w:rsid w:val="3AA0348E"/>
    <w:rsid w:val="3AA82343"/>
    <w:rsid w:val="3AA93CB7"/>
    <w:rsid w:val="3AB17449"/>
    <w:rsid w:val="3AEF4F38"/>
    <w:rsid w:val="3B007A89"/>
    <w:rsid w:val="3B063AE5"/>
    <w:rsid w:val="3B1318AB"/>
    <w:rsid w:val="3B2A4A8F"/>
    <w:rsid w:val="3B2D17A6"/>
    <w:rsid w:val="3B334302"/>
    <w:rsid w:val="3B5129DA"/>
    <w:rsid w:val="3B6C3370"/>
    <w:rsid w:val="3B7346FF"/>
    <w:rsid w:val="3B767FB3"/>
    <w:rsid w:val="3B911029"/>
    <w:rsid w:val="3BA945C4"/>
    <w:rsid w:val="3BA96372"/>
    <w:rsid w:val="3BB07701"/>
    <w:rsid w:val="3BBA26B9"/>
    <w:rsid w:val="3BEE647B"/>
    <w:rsid w:val="3BF746F2"/>
    <w:rsid w:val="3C010866"/>
    <w:rsid w:val="3C025A83"/>
    <w:rsid w:val="3C0E4427"/>
    <w:rsid w:val="3C18189E"/>
    <w:rsid w:val="3C1C362D"/>
    <w:rsid w:val="3C5F6A31"/>
    <w:rsid w:val="3C74072E"/>
    <w:rsid w:val="3C742325"/>
    <w:rsid w:val="3C7E15AD"/>
    <w:rsid w:val="3C925059"/>
    <w:rsid w:val="3C990195"/>
    <w:rsid w:val="3CCB2A15"/>
    <w:rsid w:val="3CCE799A"/>
    <w:rsid w:val="3CD13DD3"/>
    <w:rsid w:val="3CDF07BB"/>
    <w:rsid w:val="3CEE0771"/>
    <w:rsid w:val="3D1529EA"/>
    <w:rsid w:val="3D1B574E"/>
    <w:rsid w:val="3D4F2CD0"/>
    <w:rsid w:val="3D87287F"/>
    <w:rsid w:val="3DAE1A1E"/>
    <w:rsid w:val="3DB44648"/>
    <w:rsid w:val="3DBD74D6"/>
    <w:rsid w:val="3DC8034E"/>
    <w:rsid w:val="3DE14212"/>
    <w:rsid w:val="3DED69EA"/>
    <w:rsid w:val="3DF144AD"/>
    <w:rsid w:val="3E083D5E"/>
    <w:rsid w:val="3E2B4428"/>
    <w:rsid w:val="3E35171E"/>
    <w:rsid w:val="3E3C527C"/>
    <w:rsid w:val="3E614CE2"/>
    <w:rsid w:val="3E7D5739"/>
    <w:rsid w:val="3E9D0006"/>
    <w:rsid w:val="3EDD53AF"/>
    <w:rsid w:val="3EF618CF"/>
    <w:rsid w:val="3F0D33EF"/>
    <w:rsid w:val="3F1206A1"/>
    <w:rsid w:val="3F2F4DE1"/>
    <w:rsid w:val="3F3D74FE"/>
    <w:rsid w:val="3F3F7DC2"/>
    <w:rsid w:val="3F400D9C"/>
    <w:rsid w:val="3F493699"/>
    <w:rsid w:val="3F5B7B35"/>
    <w:rsid w:val="3F7F5144"/>
    <w:rsid w:val="3F7F7B16"/>
    <w:rsid w:val="3F80196C"/>
    <w:rsid w:val="3FB10C0A"/>
    <w:rsid w:val="3FB837A2"/>
    <w:rsid w:val="3FCF4895"/>
    <w:rsid w:val="3FD634AE"/>
    <w:rsid w:val="3FEC60AE"/>
    <w:rsid w:val="3FEE70E5"/>
    <w:rsid w:val="3FF24E79"/>
    <w:rsid w:val="400C073E"/>
    <w:rsid w:val="40161AFD"/>
    <w:rsid w:val="401A063A"/>
    <w:rsid w:val="4022387F"/>
    <w:rsid w:val="4024246B"/>
    <w:rsid w:val="40361D71"/>
    <w:rsid w:val="40554F9C"/>
    <w:rsid w:val="405F16F6"/>
    <w:rsid w:val="40613154"/>
    <w:rsid w:val="40632134"/>
    <w:rsid w:val="40640ABA"/>
    <w:rsid w:val="40694322"/>
    <w:rsid w:val="406E36E7"/>
    <w:rsid w:val="40823437"/>
    <w:rsid w:val="40BC7839"/>
    <w:rsid w:val="40C8729B"/>
    <w:rsid w:val="40CD665F"/>
    <w:rsid w:val="40D978C3"/>
    <w:rsid w:val="40EA7EEB"/>
    <w:rsid w:val="40FB63F2"/>
    <w:rsid w:val="410150B4"/>
    <w:rsid w:val="41017557"/>
    <w:rsid w:val="41022B36"/>
    <w:rsid w:val="410305B7"/>
    <w:rsid w:val="41290910"/>
    <w:rsid w:val="41326E0A"/>
    <w:rsid w:val="41686388"/>
    <w:rsid w:val="416C40CA"/>
    <w:rsid w:val="4177481D"/>
    <w:rsid w:val="41A5138A"/>
    <w:rsid w:val="41A76EB0"/>
    <w:rsid w:val="41AC2719"/>
    <w:rsid w:val="41AD3312"/>
    <w:rsid w:val="41C37A62"/>
    <w:rsid w:val="41C9707C"/>
    <w:rsid w:val="41D91034"/>
    <w:rsid w:val="41EC0535"/>
    <w:rsid w:val="41FC4949"/>
    <w:rsid w:val="42024A2E"/>
    <w:rsid w:val="420B5567"/>
    <w:rsid w:val="421414E1"/>
    <w:rsid w:val="421502BE"/>
    <w:rsid w:val="42182667"/>
    <w:rsid w:val="421B3D03"/>
    <w:rsid w:val="421F4207"/>
    <w:rsid w:val="42584BD1"/>
    <w:rsid w:val="426467E0"/>
    <w:rsid w:val="42725710"/>
    <w:rsid w:val="427B109E"/>
    <w:rsid w:val="427E7AA4"/>
    <w:rsid w:val="428559B0"/>
    <w:rsid w:val="42892A5A"/>
    <w:rsid w:val="42B20943"/>
    <w:rsid w:val="42B555FD"/>
    <w:rsid w:val="42CF498B"/>
    <w:rsid w:val="42F62C50"/>
    <w:rsid w:val="43365CF9"/>
    <w:rsid w:val="433C7ACC"/>
    <w:rsid w:val="434B7347"/>
    <w:rsid w:val="434D3A87"/>
    <w:rsid w:val="434E48F9"/>
    <w:rsid w:val="435412BA"/>
    <w:rsid w:val="43722C93"/>
    <w:rsid w:val="43754D8C"/>
    <w:rsid w:val="43792ACE"/>
    <w:rsid w:val="43911EEB"/>
    <w:rsid w:val="43A447F7"/>
    <w:rsid w:val="43AA712C"/>
    <w:rsid w:val="43AD4526"/>
    <w:rsid w:val="43B37EA1"/>
    <w:rsid w:val="43B609E1"/>
    <w:rsid w:val="43B65AD0"/>
    <w:rsid w:val="43C755E8"/>
    <w:rsid w:val="43CF4F7A"/>
    <w:rsid w:val="43E06BC0"/>
    <w:rsid w:val="43F9776B"/>
    <w:rsid w:val="44061EA9"/>
    <w:rsid w:val="44182E35"/>
    <w:rsid w:val="4426495C"/>
    <w:rsid w:val="44366F3F"/>
    <w:rsid w:val="444F5C33"/>
    <w:rsid w:val="447A4D50"/>
    <w:rsid w:val="448E470C"/>
    <w:rsid w:val="448E5285"/>
    <w:rsid w:val="44935E12"/>
    <w:rsid w:val="449701CB"/>
    <w:rsid w:val="449851D6"/>
    <w:rsid w:val="44A76CC5"/>
    <w:rsid w:val="44AC00B9"/>
    <w:rsid w:val="44B7644A"/>
    <w:rsid w:val="44BF09B5"/>
    <w:rsid w:val="44C2005E"/>
    <w:rsid w:val="44D51F86"/>
    <w:rsid w:val="44D91A58"/>
    <w:rsid w:val="44DA0D9D"/>
    <w:rsid w:val="44F92736"/>
    <w:rsid w:val="4504461A"/>
    <w:rsid w:val="4507642B"/>
    <w:rsid w:val="451D1671"/>
    <w:rsid w:val="451F1453"/>
    <w:rsid w:val="452B1BA6"/>
    <w:rsid w:val="452B7DF8"/>
    <w:rsid w:val="45321617"/>
    <w:rsid w:val="45401AF6"/>
    <w:rsid w:val="454163AE"/>
    <w:rsid w:val="455345A5"/>
    <w:rsid w:val="455902EF"/>
    <w:rsid w:val="455A06DD"/>
    <w:rsid w:val="45610E61"/>
    <w:rsid w:val="45763769"/>
    <w:rsid w:val="457A48DC"/>
    <w:rsid w:val="458D51A8"/>
    <w:rsid w:val="45913BAE"/>
    <w:rsid w:val="459624D2"/>
    <w:rsid w:val="459A7D41"/>
    <w:rsid w:val="459D3DE9"/>
    <w:rsid w:val="45B1654F"/>
    <w:rsid w:val="45B7168C"/>
    <w:rsid w:val="45D668A1"/>
    <w:rsid w:val="45D90A49"/>
    <w:rsid w:val="45EE77A4"/>
    <w:rsid w:val="45F800DB"/>
    <w:rsid w:val="45FA7D5B"/>
    <w:rsid w:val="46146ADE"/>
    <w:rsid w:val="46153E08"/>
    <w:rsid w:val="46713F31"/>
    <w:rsid w:val="46936D77"/>
    <w:rsid w:val="46A55988"/>
    <w:rsid w:val="46AB77FC"/>
    <w:rsid w:val="46B32394"/>
    <w:rsid w:val="46B703F4"/>
    <w:rsid w:val="46BD7176"/>
    <w:rsid w:val="46DA3884"/>
    <w:rsid w:val="46E91D19"/>
    <w:rsid w:val="46ED7A5B"/>
    <w:rsid w:val="46F56910"/>
    <w:rsid w:val="46F72688"/>
    <w:rsid w:val="46FD7572"/>
    <w:rsid w:val="47051512"/>
    <w:rsid w:val="47056F93"/>
    <w:rsid w:val="471823D7"/>
    <w:rsid w:val="471B39E8"/>
    <w:rsid w:val="471C3E9C"/>
    <w:rsid w:val="471E7C15"/>
    <w:rsid w:val="473C453F"/>
    <w:rsid w:val="473D4558"/>
    <w:rsid w:val="4742458F"/>
    <w:rsid w:val="474E7388"/>
    <w:rsid w:val="474E7DCE"/>
    <w:rsid w:val="475A49C5"/>
    <w:rsid w:val="475F50A3"/>
    <w:rsid w:val="47631ACB"/>
    <w:rsid w:val="47777325"/>
    <w:rsid w:val="477A6E15"/>
    <w:rsid w:val="477B5067"/>
    <w:rsid w:val="477C2455"/>
    <w:rsid w:val="47A619B8"/>
    <w:rsid w:val="47B903B2"/>
    <w:rsid w:val="47BA1F3A"/>
    <w:rsid w:val="47CA3978"/>
    <w:rsid w:val="47EF335F"/>
    <w:rsid w:val="48101AA9"/>
    <w:rsid w:val="48112949"/>
    <w:rsid w:val="48202F63"/>
    <w:rsid w:val="48315726"/>
    <w:rsid w:val="483E6094"/>
    <w:rsid w:val="48592ECE"/>
    <w:rsid w:val="486758D6"/>
    <w:rsid w:val="487D32FD"/>
    <w:rsid w:val="488E2B78"/>
    <w:rsid w:val="48A73C3A"/>
    <w:rsid w:val="48B472A2"/>
    <w:rsid w:val="48BA1BBF"/>
    <w:rsid w:val="48C0506B"/>
    <w:rsid w:val="48C17FD3"/>
    <w:rsid w:val="48D01A82"/>
    <w:rsid w:val="48F64F30"/>
    <w:rsid w:val="48F919B1"/>
    <w:rsid w:val="490211DC"/>
    <w:rsid w:val="490235E3"/>
    <w:rsid w:val="49276B29"/>
    <w:rsid w:val="49423962"/>
    <w:rsid w:val="494B2817"/>
    <w:rsid w:val="49792435"/>
    <w:rsid w:val="497C50C6"/>
    <w:rsid w:val="49834DA9"/>
    <w:rsid w:val="49867CF3"/>
    <w:rsid w:val="49885819"/>
    <w:rsid w:val="498B21B5"/>
    <w:rsid w:val="4990663D"/>
    <w:rsid w:val="4995638C"/>
    <w:rsid w:val="4996053C"/>
    <w:rsid w:val="499C7517"/>
    <w:rsid w:val="49BB5AF7"/>
    <w:rsid w:val="49CB3958"/>
    <w:rsid w:val="49CC2EDA"/>
    <w:rsid w:val="49D21C17"/>
    <w:rsid w:val="49ED38CE"/>
    <w:rsid w:val="49EE2EE8"/>
    <w:rsid w:val="4A1826C3"/>
    <w:rsid w:val="4A2A5A1C"/>
    <w:rsid w:val="4A2E64EC"/>
    <w:rsid w:val="4A2F2C1B"/>
    <w:rsid w:val="4A437992"/>
    <w:rsid w:val="4A48215A"/>
    <w:rsid w:val="4A4B658B"/>
    <w:rsid w:val="4A510301"/>
    <w:rsid w:val="4A52282B"/>
    <w:rsid w:val="4A5F1BDF"/>
    <w:rsid w:val="4A61428B"/>
    <w:rsid w:val="4A6C05AA"/>
    <w:rsid w:val="4A717095"/>
    <w:rsid w:val="4AA20B5D"/>
    <w:rsid w:val="4ACA50C0"/>
    <w:rsid w:val="4AE03433"/>
    <w:rsid w:val="4B032666"/>
    <w:rsid w:val="4B205ACF"/>
    <w:rsid w:val="4B225E67"/>
    <w:rsid w:val="4B264D6A"/>
    <w:rsid w:val="4B35377F"/>
    <w:rsid w:val="4B374666"/>
    <w:rsid w:val="4B5F0B56"/>
    <w:rsid w:val="4B6E5BCE"/>
    <w:rsid w:val="4B7145D4"/>
    <w:rsid w:val="4B72052F"/>
    <w:rsid w:val="4B7B3D77"/>
    <w:rsid w:val="4B7C2965"/>
    <w:rsid w:val="4B7C7600"/>
    <w:rsid w:val="4BA018A0"/>
    <w:rsid w:val="4BBE6C52"/>
    <w:rsid w:val="4BD72E77"/>
    <w:rsid w:val="4BE17463"/>
    <w:rsid w:val="4BE52395"/>
    <w:rsid w:val="4BE95517"/>
    <w:rsid w:val="4BFA0547"/>
    <w:rsid w:val="4BFB49C8"/>
    <w:rsid w:val="4BFE1DC3"/>
    <w:rsid w:val="4C0B44E0"/>
    <w:rsid w:val="4C172E84"/>
    <w:rsid w:val="4C1930A0"/>
    <w:rsid w:val="4C2B6714"/>
    <w:rsid w:val="4C545E87"/>
    <w:rsid w:val="4C7402D7"/>
    <w:rsid w:val="4C84387E"/>
    <w:rsid w:val="4C915343"/>
    <w:rsid w:val="4C9E5354"/>
    <w:rsid w:val="4CAE3FDC"/>
    <w:rsid w:val="4CC53C01"/>
    <w:rsid w:val="4CD174D7"/>
    <w:rsid w:val="4CD6192E"/>
    <w:rsid w:val="4CDF7E46"/>
    <w:rsid w:val="4CE216E4"/>
    <w:rsid w:val="4CFC33C7"/>
    <w:rsid w:val="4D225F85"/>
    <w:rsid w:val="4D427A15"/>
    <w:rsid w:val="4D4C2BE0"/>
    <w:rsid w:val="4D4E28D6"/>
    <w:rsid w:val="4D6802A3"/>
    <w:rsid w:val="4D827837"/>
    <w:rsid w:val="4D876A18"/>
    <w:rsid w:val="4DC83F18"/>
    <w:rsid w:val="4DD208BB"/>
    <w:rsid w:val="4DD82BC4"/>
    <w:rsid w:val="4DE51ADA"/>
    <w:rsid w:val="4DE82A5F"/>
    <w:rsid w:val="4E086F29"/>
    <w:rsid w:val="4E1C6E78"/>
    <w:rsid w:val="4E1F24C4"/>
    <w:rsid w:val="4E257040"/>
    <w:rsid w:val="4E281379"/>
    <w:rsid w:val="4E376061"/>
    <w:rsid w:val="4E425FCB"/>
    <w:rsid w:val="4E4B5067"/>
    <w:rsid w:val="4E543413"/>
    <w:rsid w:val="4E5E2FEC"/>
    <w:rsid w:val="4E734BC1"/>
    <w:rsid w:val="4E9E5ADF"/>
    <w:rsid w:val="4EA604F0"/>
    <w:rsid w:val="4EAD3AA1"/>
    <w:rsid w:val="4EAE1523"/>
    <w:rsid w:val="4EB60C2F"/>
    <w:rsid w:val="4EB74D45"/>
    <w:rsid w:val="4EB8094F"/>
    <w:rsid w:val="4EB90223"/>
    <w:rsid w:val="4EBB0839"/>
    <w:rsid w:val="4EDF40EB"/>
    <w:rsid w:val="4F1171DB"/>
    <w:rsid w:val="4F2C4394"/>
    <w:rsid w:val="4F302BDB"/>
    <w:rsid w:val="4F36417C"/>
    <w:rsid w:val="4F383685"/>
    <w:rsid w:val="4F552641"/>
    <w:rsid w:val="4F7F76BE"/>
    <w:rsid w:val="4F897F8C"/>
    <w:rsid w:val="4F8F7917"/>
    <w:rsid w:val="4FA904C1"/>
    <w:rsid w:val="4FAB0938"/>
    <w:rsid w:val="4FAE3B00"/>
    <w:rsid w:val="4FB50A50"/>
    <w:rsid w:val="4FBA22CA"/>
    <w:rsid w:val="4FBF4BE3"/>
    <w:rsid w:val="4FCC21D8"/>
    <w:rsid w:val="4FD70802"/>
    <w:rsid w:val="4FFE6835"/>
    <w:rsid w:val="5043693E"/>
    <w:rsid w:val="504D3319"/>
    <w:rsid w:val="50651AD3"/>
    <w:rsid w:val="50A970CD"/>
    <w:rsid w:val="50C20F03"/>
    <w:rsid w:val="50E13A61"/>
    <w:rsid w:val="50E83041"/>
    <w:rsid w:val="51121E6C"/>
    <w:rsid w:val="511B275E"/>
    <w:rsid w:val="511B6F73"/>
    <w:rsid w:val="51493AE0"/>
    <w:rsid w:val="514D0B72"/>
    <w:rsid w:val="515406D7"/>
    <w:rsid w:val="517174DB"/>
    <w:rsid w:val="51755C22"/>
    <w:rsid w:val="517E2B19"/>
    <w:rsid w:val="518E72E3"/>
    <w:rsid w:val="518E73DD"/>
    <w:rsid w:val="519572B9"/>
    <w:rsid w:val="519C7ED2"/>
    <w:rsid w:val="51A37821"/>
    <w:rsid w:val="51AF7DB0"/>
    <w:rsid w:val="51B80221"/>
    <w:rsid w:val="51B80C66"/>
    <w:rsid w:val="51BC6ED0"/>
    <w:rsid w:val="51C02AAF"/>
    <w:rsid w:val="51D07C97"/>
    <w:rsid w:val="51F83758"/>
    <w:rsid w:val="522147AF"/>
    <w:rsid w:val="52332961"/>
    <w:rsid w:val="52370903"/>
    <w:rsid w:val="5237602E"/>
    <w:rsid w:val="52491AC3"/>
    <w:rsid w:val="524D13AE"/>
    <w:rsid w:val="524D7600"/>
    <w:rsid w:val="52636E23"/>
    <w:rsid w:val="527505D4"/>
    <w:rsid w:val="5277467D"/>
    <w:rsid w:val="527A7FA1"/>
    <w:rsid w:val="52A31916"/>
    <w:rsid w:val="52AF02BB"/>
    <w:rsid w:val="52BF7DD2"/>
    <w:rsid w:val="52D47995"/>
    <w:rsid w:val="52E82B11"/>
    <w:rsid w:val="530323B4"/>
    <w:rsid w:val="531719BC"/>
    <w:rsid w:val="53207841"/>
    <w:rsid w:val="532103EE"/>
    <w:rsid w:val="53281E1B"/>
    <w:rsid w:val="5328717E"/>
    <w:rsid w:val="53334A48"/>
    <w:rsid w:val="534B665D"/>
    <w:rsid w:val="535634F9"/>
    <w:rsid w:val="53582700"/>
    <w:rsid w:val="535B3F9E"/>
    <w:rsid w:val="5373753A"/>
    <w:rsid w:val="53845699"/>
    <w:rsid w:val="539D0113"/>
    <w:rsid w:val="53AD4D81"/>
    <w:rsid w:val="53B37937"/>
    <w:rsid w:val="53BB66ED"/>
    <w:rsid w:val="53DE173E"/>
    <w:rsid w:val="540B1521"/>
    <w:rsid w:val="540C66B5"/>
    <w:rsid w:val="5411167A"/>
    <w:rsid w:val="54176117"/>
    <w:rsid w:val="541C1C0A"/>
    <w:rsid w:val="541D2AA2"/>
    <w:rsid w:val="542305FD"/>
    <w:rsid w:val="54267F9B"/>
    <w:rsid w:val="54415244"/>
    <w:rsid w:val="54425343"/>
    <w:rsid w:val="544416A7"/>
    <w:rsid w:val="545455E7"/>
    <w:rsid w:val="54576514"/>
    <w:rsid w:val="54640C31"/>
    <w:rsid w:val="54646E83"/>
    <w:rsid w:val="546B7126"/>
    <w:rsid w:val="54745B1B"/>
    <w:rsid w:val="547C5893"/>
    <w:rsid w:val="54B5148C"/>
    <w:rsid w:val="54F355E2"/>
    <w:rsid w:val="54FF095A"/>
    <w:rsid w:val="55177630"/>
    <w:rsid w:val="551D59AF"/>
    <w:rsid w:val="55463C75"/>
    <w:rsid w:val="554B6BB5"/>
    <w:rsid w:val="55515DE3"/>
    <w:rsid w:val="55574CCF"/>
    <w:rsid w:val="55627D22"/>
    <w:rsid w:val="556B6C06"/>
    <w:rsid w:val="557312C2"/>
    <w:rsid w:val="55886BA1"/>
    <w:rsid w:val="55B1019B"/>
    <w:rsid w:val="55BC3010"/>
    <w:rsid w:val="55BD4A9D"/>
    <w:rsid w:val="55E34DF9"/>
    <w:rsid w:val="55E42029"/>
    <w:rsid w:val="55E62245"/>
    <w:rsid w:val="55FF4536"/>
    <w:rsid w:val="560C1580"/>
    <w:rsid w:val="561046EC"/>
    <w:rsid w:val="5613290E"/>
    <w:rsid w:val="56206E5C"/>
    <w:rsid w:val="563271AC"/>
    <w:rsid w:val="5635357E"/>
    <w:rsid w:val="563B7D27"/>
    <w:rsid w:val="563E325C"/>
    <w:rsid w:val="56455D97"/>
    <w:rsid w:val="564C12CE"/>
    <w:rsid w:val="56670B6F"/>
    <w:rsid w:val="56694C24"/>
    <w:rsid w:val="56757125"/>
    <w:rsid w:val="568432FD"/>
    <w:rsid w:val="569F6155"/>
    <w:rsid w:val="56A17F1A"/>
    <w:rsid w:val="56AE2637"/>
    <w:rsid w:val="56D06997"/>
    <w:rsid w:val="56D57E54"/>
    <w:rsid w:val="56E2341D"/>
    <w:rsid w:val="570566FB"/>
    <w:rsid w:val="5714693E"/>
    <w:rsid w:val="57197DA9"/>
    <w:rsid w:val="57284198"/>
    <w:rsid w:val="573568B4"/>
    <w:rsid w:val="573945F7"/>
    <w:rsid w:val="574933F2"/>
    <w:rsid w:val="577735EB"/>
    <w:rsid w:val="577A7939"/>
    <w:rsid w:val="577E6D98"/>
    <w:rsid w:val="57957D47"/>
    <w:rsid w:val="57A142D7"/>
    <w:rsid w:val="57BB325E"/>
    <w:rsid w:val="57DB3900"/>
    <w:rsid w:val="57E04A72"/>
    <w:rsid w:val="57EB2324"/>
    <w:rsid w:val="57ED4606"/>
    <w:rsid w:val="57EE30BA"/>
    <w:rsid w:val="58036FF1"/>
    <w:rsid w:val="58140590"/>
    <w:rsid w:val="583C364D"/>
    <w:rsid w:val="583D5ED1"/>
    <w:rsid w:val="58450D5F"/>
    <w:rsid w:val="585711A2"/>
    <w:rsid w:val="58597CE7"/>
    <w:rsid w:val="586A351D"/>
    <w:rsid w:val="586E7648"/>
    <w:rsid w:val="587C3438"/>
    <w:rsid w:val="588C60AE"/>
    <w:rsid w:val="58A135A0"/>
    <w:rsid w:val="58C625B2"/>
    <w:rsid w:val="58CB2C00"/>
    <w:rsid w:val="58F76F6F"/>
    <w:rsid w:val="58FB5BFB"/>
    <w:rsid w:val="590824D3"/>
    <w:rsid w:val="5909575A"/>
    <w:rsid w:val="590D45F8"/>
    <w:rsid w:val="591D6844"/>
    <w:rsid w:val="591F11C9"/>
    <w:rsid w:val="593265EF"/>
    <w:rsid w:val="5954396A"/>
    <w:rsid w:val="595F72AE"/>
    <w:rsid w:val="59611F3F"/>
    <w:rsid w:val="596A142E"/>
    <w:rsid w:val="597B2EEC"/>
    <w:rsid w:val="59837DAB"/>
    <w:rsid w:val="598A113A"/>
    <w:rsid w:val="59A71CEC"/>
    <w:rsid w:val="59B7793C"/>
    <w:rsid w:val="59C36FD2"/>
    <w:rsid w:val="59DB1224"/>
    <w:rsid w:val="59DE3233"/>
    <w:rsid w:val="59E9425C"/>
    <w:rsid w:val="59EE5898"/>
    <w:rsid w:val="59F91E1B"/>
    <w:rsid w:val="59FA04C3"/>
    <w:rsid w:val="59FD51B2"/>
    <w:rsid w:val="5A1B5A08"/>
    <w:rsid w:val="5A270D11"/>
    <w:rsid w:val="5A32392B"/>
    <w:rsid w:val="5A5F4374"/>
    <w:rsid w:val="5A623E64"/>
    <w:rsid w:val="5A6776CD"/>
    <w:rsid w:val="5A6C6166"/>
    <w:rsid w:val="5A6E45B7"/>
    <w:rsid w:val="5A744438"/>
    <w:rsid w:val="5A8042EB"/>
    <w:rsid w:val="5A8D3F22"/>
    <w:rsid w:val="5A8F63FC"/>
    <w:rsid w:val="5AA80549"/>
    <w:rsid w:val="5AC13672"/>
    <w:rsid w:val="5AC36B75"/>
    <w:rsid w:val="5ACF2F99"/>
    <w:rsid w:val="5AD84127"/>
    <w:rsid w:val="5AF32D0E"/>
    <w:rsid w:val="5B0C2C13"/>
    <w:rsid w:val="5B1909C7"/>
    <w:rsid w:val="5B1E7D8B"/>
    <w:rsid w:val="5B2555BE"/>
    <w:rsid w:val="5B3F6EDC"/>
    <w:rsid w:val="5B433C96"/>
    <w:rsid w:val="5B591BC9"/>
    <w:rsid w:val="5B5F2152"/>
    <w:rsid w:val="5B6B4F9B"/>
    <w:rsid w:val="5B6D13DC"/>
    <w:rsid w:val="5B783BA2"/>
    <w:rsid w:val="5B7C71A8"/>
    <w:rsid w:val="5B7D3E87"/>
    <w:rsid w:val="5B81656C"/>
    <w:rsid w:val="5B962018"/>
    <w:rsid w:val="5B9718EC"/>
    <w:rsid w:val="5BAA5AC3"/>
    <w:rsid w:val="5BAE1FF5"/>
    <w:rsid w:val="5BAE2148"/>
    <w:rsid w:val="5BD26D32"/>
    <w:rsid w:val="5BD9413E"/>
    <w:rsid w:val="5BDB23DD"/>
    <w:rsid w:val="5BE508A9"/>
    <w:rsid w:val="5BE84759"/>
    <w:rsid w:val="5C07178B"/>
    <w:rsid w:val="5C0D7E00"/>
    <w:rsid w:val="5C110814"/>
    <w:rsid w:val="5C207B33"/>
    <w:rsid w:val="5C224E37"/>
    <w:rsid w:val="5C2D3FFE"/>
    <w:rsid w:val="5C351497"/>
    <w:rsid w:val="5C3E7FB9"/>
    <w:rsid w:val="5C5D2B35"/>
    <w:rsid w:val="5C630EA0"/>
    <w:rsid w:val="5C661025"/>
    <w:rsid w:val="5C7165E1"/>
    <w:rsid w:val="5C811348"/>
    <w:rsid w:val="5C9127DF"/>
    <w:rsid w:val="5C9935B8"/>
    <w:rsid w:val="5C9A1AC8"/>
    <w:rsid w:val="5C9C3677"/>
    <w:rsid w:val="5CA73892"/>
    <w:rsid w:val="5CB64B9B"/>
    <w:rsid w:val="5CBA7F88"/>
    <w:rsid w:val="5CBC6FC2"/>
    <w:rsid w:val="5CD758C6"/>
    <w:rsid w:val="5CDA23D8"/>
    <w:rsid w:val="5CDE5F6B"/>
    <w:rsid w:val="5CEF663D"/>
    <w:rsid w:val="5D0301BB"/>
    <w:rsid w:val="5D090DB0"/>
    <w:rsid w:val="5D107BA8"/>
    <w:rsid w:val="5D1451F9"/>
    <w:rsid w:val="5D153410"/>
    <w:rsid w:val="5D1D22C5"/>
    <w:rsid w:val="5D204456"/>
    <w:rsid w:val="5D24159D"/>
    <w:rsid w:val="5D327BF3"/>
    <w:rsid w:val="5D3543FB"/>
    <w:rsid w:val="5D384E75"/>
    <w:rsid w:val="5D433711"/>
    <w:rsid w:val="5D5E1D3C"/>
    <w:rsid w:val="5D757AFB"/>
    <w:rsid w:val="5D7958C2"/>
    <w:rsid w:val="5D85547F"/>
    <w:rsid w:val="5D997052"/>
    <w:rsid w:val="5D9B1BA1"/>
    <w:rsid w:val="5D9E7A38"/>
    <w:rsid w:val="5DB46EC8"/>
    <w:rsid w:val="5DC12387"/>
    <w:rsid w:val="5DCC122F"/>
    <w:rsid w:val="5DCE32F5"/>
    <w:rsid w:val="5DD21CFB"/>
    <w:rsid w:val="5DF17405"/>
    <w:rsid w:val="5E19246F"/>
    <w:rsid w:val="5E201EA1"/>
    <w:rsid w:val="5E2969E2"/>
    <w:rsid w:val="5E2A4C99"/>
    <w:rsid w:val="5E5166CA"/>
    <w:rsid w:val="5E574667"/>
    <w:rsid w:val="5E587A3A"/>
    <w:rsid w:val="5E616136"/>
    <w:rsid w:val="5E7C6FCE"/>
    <w:rsid w:val="5EA031AD"/>
    <w:rsid w:val="5EBC19F1"/>
    <w:rsid w:val="5EBD78BB"/>
    <w:rsid w:val="5ECE1AC8"/>
    <w:rsid w:val="5ED30E8D"/>
    <w:rsid w:val="5ED903A7"/>
    <w:rsid w:val="5EFE6E0A"/>
    <w:rsid w:val="5F076875"/>
    <w:rsid w:val="5F103E8F"/>
    <w:rsid w:val="5F164B85"/>
    <w:rsid w:val="5F172392"/>
    <w:rsid w:val="5F1A3DBE"/>
    <w:rsid w:val="5F1B0D98"/>
    <w:rsid w:val="5F2636B2"/>
    <w:rsid w:val="5F2D2867"/>
    <w:rsid w:val="5F3C13A8"/>
    <w:rsid w:val="5F632037"/>
    <w:rsid w:val="5F6D531F"/>
    <w:rsid w:val="5F720C71"/>
    <w:rsid w:val="5F785373"/>
    <w:rsid w:val="5F7E1979"/>
    <w:rsid w:val="5F7E5440"/>
    <w:rsid w:val="5FB40CBE"/>
    <w:rsid w:val="5FBE7D8F"/>
    <w:rsid w:val="5FC874DA"/>
    <w:rsid w:val="5FCB425A"/>
    <w:rsid w:val="5FDE1325"/>
    <w:rsid w:val="5FF23595"/>
    <w:rsid w:val="5FF5035E"/>
    <w:rsid w:val="600471CC"/>
    <w:rsid w:val="6012222A"/>
    <w:rsid w:val="60365C2B"/>
    <w:rsid w:val="6045400C"/>
    <w:rsid w:val="604638E0"/>
    <w:rsid w:val="60515B9E"/>
    <w:rsid w:val="60651CD4"/>
    <w:rsid w:val="60744D82"/>
    <w:rsid w:val="607B7A2E"/>
    <w:rsid w:val="608A4BE5"/>
    <w:rsid w:val="60BD4449"/>
    <w:rsid w:val="60E42375"/>
    <w:rsid w:val="61114ABA"/>
    <w:rsid w:val="611C5647"/>
    <w:rsid w:val="612E4693"/>
    <w:rsid w:val="614822A7"/>
    <w:rsid w:val="614C6AAF"/>
    <w:rsid w:val="61526F33"/>
    <w:rsid w:val="61671D60"/>
    <w:rsid w:val="6173696E"/>
    <w:rsid w:val="61775374"/>
    <w:rsid w:val="617C34DE"/>
    <w:rsid w:val="617C580C"/>
    <w:rsid w:val="61812E22"/>
    <w:rsid w:val="6187474F"/>
    <w:rsid w:val="618F606A"/>
    <w:rsid w:val="61967E27"/>
    <w:rsid w:val="61A11716"/>
    <w:rsid w:val="61A62889"/>
    <w:rsid w:val="61B26F6C"/>
    <w:rsid w:val="61B34FA6"/>
    <w:rsid w:val="61BD2427"/>
    <w:rsid w:val="61CF0031"/>
    <w:rsid w:val="61F22829"/>
    <w:rsid w:val="61FE6552"/>
    <w:rsid w:val="62055EDD"/>
    <w:rsid w:val="6208709F"/>
    <w:rsid w:val="62144DEA"/>
    <w:rsid w:val="621517BC"/>
    <w:rsid w:val="622F3C7D"/>
    <w:rsid w:val="62383234"/>
    <w:rsid w:val="624364AA"/>
    <w:rsid w:val="6247406C"/>
    <w:rsid w:val="626127EB"/>
    <w:rsid w:val="6269411C"/>
    <w:rsid w:val="626F7B0B"/>
    <w:rsid w:val="62701C77"/>
    <w:rsid w:val="627666FF"/>
    <w:rsid w:val="627D3167"/>
    <w:rsid w:val="6291178B"/>
    <w:rsid w:val="629C2444"/>
    <w:rsid w:val="62AC0373"/>
    <w:rsid w:val="62B422AC"/>
    <w:rsid w:val="62BC7E8A"/>
    <w:rsid w:val="62E0079F"/>
    <w:rsid w:val="62E278F0"/>
    <w:rsid w:val="63066A46"/>
    <w:rsid w:val="63244136"/>
    <w:rsid w:val="632C3261"/>
    <w:rsid w:val="6332701F"/>
    <w:rsid w:val="63526073"/>
    <w:rsid w:val="63592369"/>
    <w:rsid w:val="635D0EFB"/>
    <w:rsid w:val="635F2C96"/>
    <w:rsid w:val="636429FB"/>
    <w:rsid w:val="63662621"/>
    <w:rsid w:val="636D30D6"/>
    <w:rsid w:val="638150AC"/>
    <w:rsid w:val="63B219B9"/>
    <w:rsid w:val="63B3128D"/>
    <w:rsid w:val="63D22876"/>
    <w:rsid w:val="63DD455C"/>
    <w:rsid w:val="63DE4E42"/>
    <w:rsid w:val="63DE6DE8"/>
    <w:rsid w:val="63E663F3"/>
    <w:rsid w:val="63E8178F"/>
    <w:rsid w:val="63F44780"/>
    <w:rsid w:val="63F7386F"/>
    <w:rsid w:val="63F92547"/>
    <w:rsid w:val="640B2DAF"/>
    <w:rsid w:val="640F4DE3"/>
    <w:rsid w:val="64187EC6"/>
    <w:rsid w:val="64197B7A"/>
    <w:rsid w:val="642F4DB7"/>
    <w:rsid w:val="64392005"/>
    <w:rsid w:val="64403609"/>
    <w:rsid w:val="644C6F2D"/>
    <w:rsid w:val="645111D2"/>
    <w:rsid w:val="6458542D"/>
    <w:rsid w:val="645A5BAC"/>
    <w:rsid w:val="647A1DAB"/>
    <w:rsid w:val="648F63DC"/>
    <w:rsid w:val="64A2343E"/>
    <w:rsid w:val="64D67929"/>
    <w:rsid w:val="64E738E4"/>
    <w:rsid w:val="650A6555"/>
    <w:rsid w:val="652E1513"/>
    <w:rsid w:val="65321988"/>
    <w:rsid w:val="653D51AD"/>
    <w:rsid w:val="654A11C6"/>
    <w:rsid w:val="65622111"/>
    <w:rsid w:val="656942F9"/>
    <w:rsid w:val="656E29F6"/>
    <w:rsid w:val="658B24C1"/>
    <w:rsid w:val="658D7A28"/>
    <w:rsid w:val="65A111DE"/>
    <w:rsid w:val="65AE44DC"/>
    <w:rsid w:val="65C2739E"/>
    <w:rsid w:val="65C92FEA"/>
    <w:rsid w:val="65D43A20"/>
    <w:rsid w:val="65DF45BB"/>
    <w:rsid w:val="65E63B9C"/>
    <w:rsid w:val="65E971E8"/>
    <w:rsid w:val="65EF2839"/>
    <w:rsid w:val="65F04A1A"/>
    <w:rsid w:val="660758C0"/>
    <w:rsid w:val="662F24C2"/>
    <w:rsid w:val="663366B5"/>
    <w:rsid w:val="663A5C95"/>
    <w:rsid w:val="66415276"/>
    <w:rsid w:val="666A74AE"/>
    <w:rsid w:val="66740426"/>
    <w:rsid w:val="667747F4"/>
    <w:rsid w:val="66AB435C"/>
    <w:rsid w:val="66B5531C"/>
    <w:rsid w:val="66BE36DE"/>
    <w:rsid w:val="66D141F0"/>
    <w:rsid w:val="66D460EA"/>
    <w:rsid w:val="66D60676"/>
    <w:rsid w:val="66D77CE6"/>
    <w:rsid w:val="66EB6E19"/>
    <w:rsid w:val="67223341"/>
    <w:rsid w:val="67325B5A"/>
    <w:rsid w:val="67371408"/>
    <w:rsid w:val="673B1CC5"/>
    <w:rsid w:val="67405AAF"/>
    <w:rsid w:val="67446DCC"/>
    <w:rsid w:val="67492C72"/>
    <w:rsid w:val="674A015A"/>
    <w:rsid w:val="674F5770"/>
    <w:rsid w:val="677B6565"/>
    <w:rsid w:val="6784366C"/>
    <w:rsid w:val="67876CB8"/>
    <w:rsid w:val="67975221"/>
    <w:rsid w:val="679F4002"/>
    <w:rsid w:val="67A37265"/>
    <w:rsid w:val="67A6137F"/>
    <w:rsid w:val="67C21F0D"/>
    <w:rsid w:val="67C65A33"/>
    <w:rsid w:val="67D77E55"/>
    <w:rsid w:val="67D85766"/>
    <w:rsid w:val="67DA328C"/>
    <w:rsid w:val="67DC5256"/>
    <w:rsid w:val="67E23B5A"/>
    <w:rsid w:val="67E4410B"/>
    <w:rsid w:val="67F307F2"/>
    <w:rsid w:val="67F85E08"/>
    <w:rsid w:val="680E73DA"/>
    <w:rsid w:val="68150768"/>
    <w:rsid w:val="681F15E7"/>
    <w:rsid w:val="682D38C2"/>
    <w:rsid w:val="6844471E"/>
    <w:rsid w:val="684B23DC"/>
    <w:rsid w:val="6864276A"/>
    <w:rsid w:val="686C45DD"/>
    <w:rsid w:val="6871558B"/>
    <w:rsid w:val="68785E71"/>
    <w:rsid w:val="68A3209E"/>
    <w:rsid w:val="68A45648"/>
    <w:rsid w:val="68AA3625"/>
    <w:rsid w:val="68AF38D4"/>
    <w:rsid w:val="68BC0EE4"/>
    <w:rsid w:val="68DC2322"/>
    <w:rsid w:val="68FB5BB0"/>
    <w:rsid w:val="69274D10"/>
    <w:rsid w:val="69384B84"/>
    <w:rsid w:val="694569AA"/>
    <w:rsid w:val="694F5ED5"/>
    <w:rsid w:val="695F613F"/>
    <w:rsid w:val="69765236"/>
    <w:rsid w:val="697F058F"/>
    <w:rsid w:val="69962DC6"/>
    <w:rsid w:val="69995197"/>
    <w:rsid w:val="69A43B52"/>
    <w:rsid w:val="69A842DD"/>
    <w:rsid w:val="69A973BA"/>
    <w:rsid w:val="69C9180A"/>
    <w:rsid w:val="69CC6B23"/>
    <w:rsid w:val="69D306AC"/>
    <w:rsid w:val="69DD12EB"/>
    <w:rsid w:val="69E84DCE"/>
    <w:rsid w:val="69FF71AE"/>
    <w:rsid w:val="6A0240D7"/>
    <w:rsid w:val="6A0430C2"/>
    <w:rsid w:val="6A0B4089"/>
    <w:rsid w:val="6A175A16"/>
    <w:rsid w:val="6A1C386D"/>
    <w:rsid w:val="6A2560DD"/>
    <w:rsid w:val="6A276531"/>
    <w:rsid w:val="6A301889"/>
    <w:rsid w:val="6A305D3C"/>
    <w:rsid w:val="6A527A52"/>
    <w:rsid w:val="6A59526A"/>
    <w:rsid w:val="6A6E5F0E"/>
    <w:rsid w:val="6A821835"/>
    <w:rsid w:val="6A935974"/>
    <w:rsid w:val="6AB06D96"/>
    <w:rsid w:val="6ABB3A1C"/>
    <w:rsid w:val="6AC326FD"/>
    <w:rsid w:val="6AC56475"/>
    <w:rsid w:val="6AD2262F"/>
    <w:rsid w:val="6AED777A"/>
    <w:rsid w:val="6AF20B04"/>
    <w:rsid w:val="6B014FD4"/>
    <w:rsid w:val="6B030D4C"/>
    <w:rsid w:val="6B064398"/>
    <w:rsid w:val="6B0C74AF"/>
    <w:rsid w:val="6B0F59CF"/>
    <w:rsid w:val="6B1000B4"/>
    <w:rsid w:val="6B1E6CE2"/>
    <w:rsid w:val="6B250CC2"/>
    <w:rsid w:val="6B2C79E4"/>
    <w:rsid w:val="6B2D1BE2"/>
    <w:rsid w:val="6B2D4F34"/>
    <w:rsid w:val="6B34388A"/>
    <w:rsid w:val="6B39200D"/>
    <w:rsid w:val="6B454EC0"/>
    <w:rsid w:val="6B5415A7"/>
    <w:rsid w:val="6B596BBE"/>
    <w:rsid w:val="6B683173"/>
    <w:rsid w:val="6B741C4A"/>
    <w:rsid w:val="6B7C395A"/>
    <w:rsid w:val="6B8043BE"/>
    <w:rsid w:val="6B947BF6"/>
    <w:rsid w:val="6B9E4049"/>
    <w:rsid w:val="6BB77D74"/>
    <w:rsid w:val="6BBF1117"/>
    <w:rsid w:val="6BC65075"/>
    <w:rsid w:val="6BD031F5"/>
    <w:rsid w:val="6BD745FA"/>
    <w:rsid w:val="6BF62454"/>
    <w:rsid w:val="6BF661DA"/>
    <w:rsid w:val="6BFB1A23"/>
    <w:rsid w:val="6BFB62F5"/>
    <w:rsid w:val="6C0528A2"/>
    <w:rsid w:val="6C0C7A7C"/>
    <w:rsid w:val="6C1256EA"/>
    <w:rsid w:val="6C172D01"/>
    <w:rsid w:val="6C2216A6"/>
    <w:rsid w:val="6C39049E"/>
    <w:rsid w:val="6C3C297F"/>
    <w:rsid w:val="6C410F3F"/>
    <w:rsid w:val="6C411B2C"/>
    <w:rsid w:val="6C450EF0"/>
    <w:rsid w:val="6C597151"/>
    <w:rsid w:val="6C6E7FF0"/>
    <w:rsid w:val="6C6F57AA"/>
    <w:rsid w:val="6C88575E"/>
    <w:rsid w:val="6CA43E69"/>
    <w:rsid w:val="6CA95923"/>
    <w:rsid w:val="6CDE4488"/>
    <w:rsid w:val="6CE34991"/>
    <w:rsid w:val="6CE40709"/>
    <w:rsid w:val="6CF7043C"/>
    <w:rsid w:val="6CFA10BF"/>
    <w:rsid w:val="6D003795"/>
    <w:rsid w:val="6D084972"/>
    <w:rsid w:val="6D322E4B"/>
    <w:rsid w:val="6D336D7F"/>
    <w:rsid w:val="6D350F65"/>
    <w:rsid w:val="6D920153"/>
    <w:rsid w:val="6D9E378C"/>
    <w:rsid w:val="6DAE710B"/>
    <w:rsid w:val="6DBD1686"/>
    <w:rsid w:val="6DC476B0"/>
    <w:rsid w:val="6DD644F6"/>
    <w:rsid w:val="6E083615"/>
    <w:rsid w:val="6E0C2A8F"/>
    <w:rsid w:val="6E14501E"/>
    <w:rsid w:val="6E187388"/>
    <w:rsid w:val="6E46167B"/>
    <w:rsid w:val="6E6A45B3"/>
    <w:rsid w:val="6E6C5E96"/>
    <w:rsid w:val="6E7B6E4B"/>
    <w:rsid w:val="6E881964"/>
    <w:rsid w:val="6E8E4DD0"/>
    <w:rsid w:val="6E9A5102"/>
    <w:rsid w:val="6EA36B40"/>
    <w:rsid w:val="6EA574E6"/>
    <w:rsid w:val="6EBB353E"/>
    <w:rsid w:val="6EBC0988"/>
    <w:rsid w:val="6EBE3325"/>
    <w:rsid w:val="6ED44C04"/>
    <w:rsid w:val="6EDA7F25"/>
    <w:rsid w:val="6EE9748D"/>
    <w:rsid w:val="6EEB3447"/>
    <w:rsid w:val="6EF32E85"/>
    <w:rsid w:val="6F03756C"/>
    <w:rsid w:val="6F1277AF"/>
    <w:rsid w:val="6F1B2B08"/>
    <w:rsid w:val="6F2F210F"/>
    <w:rsid w:val="6F35349E"/>
    <w:rsid w:val="6F6A3147"/>
    <w:rsid w:val="6F83507F"/>
    <w:rsid w:val="6F8A47D6"/>
    <w:rsid w:val="6F911E17"/>
    <w:rsid w:val="6F96218E"/>
    <w:rsid w:val="6FA7614A"/>
    <w:rsid w:val="6FCB6AF9"/>
    <w:rsid w:val="700C1E45"/>
    <w:rsid w:val="701658F3"/>
    <w:rsid w:val="70633A25"/>
    <w:rsid w:val="7063658A"/>
    <w:rsid w:val="70651B61"/>
    <w:rsid w:val="70793BDD"/>
    <w:rsid w:val="70A00DEB"/>
    <w:rsid w:val="70AE175A"/>
    <w:rsid w:val="70B0102E"/>
    <w:rsid w:val="70B34FC2"/>
    <w:rsid w:val="70B37CEA"/>
    <w:rsid w:val="70BA00FF"/>
    <w:rsid w:val="70BD374B"/>
    <w:rsid w:val="70C200F8"/>
    <w:rsid w:val="70C40F7D"/>
    <w:rsid w:val="70D511A9"/>
    <w:rsid w:val="70E70526"/>
    <w:rsid w:val="70F0688D"/>
    <w:rsid w:val="70F27A83"/>
    <w:rsid w:val="71033854"/>
    <w:rsid w:val="710D4B86"/>
    <w:rsid w:val="71336795"/>
    <w:rsid w:val="713D5F4D"/>
    <w:rsid w:val="71435A18"/>
    <w:rsid w:val="714479C8"/>
    <w:rsid w:val="714819AE"/>
    <w:rsid w:val="7164006A"/>
    <w:rsid w:val="716B5F0F"/>
    <w:rsid w:val="718F158B"/>
    <w:rsid w:val="7193670B"/>
    <w:rsid w:val="71A36D11"/>
    <w:rsid w:val="71A861A9"/>
    <w:rsid w:val="71AF7537"/>
    <w:rsid w:val="71B40FF2"/>
    <w:rsid w:val="71B763EC"/>
    <w:rsid w:val="71BA1495"/>
    <w:rsid w:val="71E73175"/>
    <w:rsid w:val="71EB4575"/>
    <w:rsid w:val="71F53AF5"/>
    <w:rsid w:val="72192C03"/>
    <w:rsid w:val="721F290F"/>
    <w:rsid w:val="72230316"/>
    <w:rsid w:val="722D120D"/>
    <w:rsid w:val="72312642"/>
    <w:rsid w:val="72364028"/>
    <w:rsid w:val="7237336F"/>
    <w:rsid w:val="723F3C77"/>
    <w:rsid w:val="724569CA"/>
    <w:rsid w:val="72683D5E"/>
    <w:rsid w:val="727A5D97"/>
    <w:rsid w:val="728124EA"/>
    <w:rsid w:val="728B1D53"/>
    <w:rsid w:val="72956EEA"/>
    <w:rsid w:val="72A944A4"/>
    <w:rsid w:val="72C94F24"/>
    <w:rsid w:val="72CA35D9"/>
    <w:rsid w:val="72DA3E7D"/>
    <w:rsid w:val="72F36FA5"/>
    <w:rsid w:val="73015176"/>
    <w:rsid w:val="73034CAE"/>
    <w:rsid w:val="730A49CC"/>
    <w:rsid w:val="730B464C"/>
    <w:rsid w:val="73122AE2"/>
    <w:rsid w:val="731D2320"/>
    <w:rsid w:val="733046A8"/>
    <w:rsid w:val="73403821"/>
    <w:rsid w:val="73577D48"/>
    <w:rsid w:val="7358745E"/>
    <w:rsid w:val="735A1725"/>
    <w:rsid w:val="735C0F53"/>
    <w:rsid w:val="73663A61"/>
    <w:rsid w:val="738124B1"/>
    <w:rsid w:val="738E71A4"/>
    <w:rsid w:val="73936BA2"/>
    <w:rsid w:val="73AD3F4B"/>
    <w:rsid w:val="73B726D3"/>
    <w:rsid w:val="73B90B42"/>
    <w:rsid w:val="73C06F39"/>
    <w:rsid w:val="73DA4614"/>
    <w:rsid w:val="73E814B2"/>
    <w:rsid w:val="740C3851"/>
    <w:rsid w:val="741B228B"/>
    <w:rsid w:val="742A559B"/>
    <w:rsid w:val="743774BB"/>
    <w:rsid w:val="74392BD3"/>
    <w:rsid w:val="745B563F"/>
    <w:rsid w:val="745D14CD"/>
    <w:rsid w:val="745E6FF3"/>
    <w:rsid w:val="746214DC"/>
    <w:rsid w:val="746D7236"/>
    <w:rsid w:val="747447A8"/>
    <w:rsid w:val="7476433D"/>
    <w:rsid w:val="747A3709"/>
    <w:rsid w:val="748F1232"/>
    <w:rsid w:val="749D155F"/>
    <w:rsid w:val="74A0585D"/>
    <w:rsid w:val="74B73DF0"/>
    <w:rsid w:val="74BA691F"/>
    <w:rsid w:val="74C81534"/>
    <w:rsid w:val="74CD4313"/>
    <w:rsid w:val="74CE2E98"/>
    <w:rsid w:val="74DC48C7"/>
    <w:rsid w:val="75047B9A"/>
    <w:rsid w:val="75091F13"/>
    <w:rsid w:val="750D7CFB"/>
    <w:rsid w:val="75113A9C"/>
    <w:rsid w:val="75155D26"/>
    <w:rsid w:val="75315CE9"/>
    <w:rsid w:val="753523C8"/>
    <w:rsid w:val="75497CA3"/>
    <w:rsid w:val="75660FA8"/>
    <w:rsid w:val="75A82C1C"/>
    <w:rsid w:val="75B84C04"/>
    <w:rsid w:val="75DB3CE2"/>
    <w:rsid w:val="75E727FB"/>
    <w:rsid w:val="75E874BC"/>
    <w:rsid w:val="75F06371"/>
    <w:rsid w:val="76057ED3"/>
    <w:rsid w:val="76172A46"/>
    <w:rsid w:val="76257DC8"/>
    <w:rsid w:val="764C58E9"/>
    <w:rsid w:val="766308F1"/>
    <w:rsid w:val="766F77DD"/>
    <w:rsid w:val="767C19B2"/>
    <w:rsid w:val="76807575"/>
    <w:rsid w:val="768A0573"/>
    <w:rsid w:val="769E698C"/>
    <w:rsid w:val="76C75323"/>
    <w:rsid w:val="76D62E8B"/>
    <w:rsid w:val="76F105F2"/>
    <w:rsid w:val="76F81AF0"/>
    <w:rsid w:val="76FA1255"/>
    <w:rsid w:val="771357EC"/>
    <w:rsid w:val="772672AC"/>
    <w:rsid w:val="77274014"/>
    <w:rsid w:val="77582A5D"/>
    <w:rsid w:val="775D17E4"/>
    <w:rsid w:val="77731007"/>
    <w:rsid w:val="7775678A"/>
    <w:rsid w:val="777D1E86"/>
    <w:rsid w:val="77971A77"/>
    <w:rsid w:val="779B25FB"/>
    <w:rsid w:val="77A952F9"/>
    <w:rsid w:val="77AF64E3"/>
    <w:rsid w:val="77C15A5F"/>
    <w:rsid w:val="77C74EAF"/>
    <w:rsid w:val="77CB0E43"/>
    <w:rsid w:val="77CB5AAF"/>
    <w:rsid w:val="77CC2A1C"/>
    <w:rsid w:val="77E141C3"/>
    <w:rsid w:val="77F06034"/>
    <w:rsid w:val="77F618E0"/>
    <w:rsid w:val="78175E36"/>
    <w:rsid w:val="78200F1B"/>
    <w:rsid w:val="78210A63"/>
    <w:rsid w:val="78222126"/>
    <w:rsid w:val="782A3DB7"/>
    <w:rsid w:val="782B618A"/>
    <w:rsid w:val="7831514A"/>
    <w:rsid w:val="78412EB3"/>
    <w:rsid w:val="78481F64"/>
    <w:rsid w:val="78485FF0"/>
    <w:rsid w:val="785726D7"/>
    <w:rsid w:val="785C63BE"/>
    <w:rsid w:val="785E0C86"/>
    <w:rsid w:val="789B656C"/>
    <w:rsid w:val="78A25EF7"/>
    <w:rsid w:val="78A771BA"/>
    <w:rsid w:val="78CF6711"/>
    <w:rsid w:val="78D83818"/>
    <w:rsid w:val="790949B6"/>
    <w:rsid w:val="790B45E8"/>
    <w:rsid w:val="79233EBE"/>
    <w:rsid w:val="79334EF2"/>
    <w:rsid w:val="79533A68"/>
    <w:rsid w:val="79627585"/>
    <w:rsid w:val="7970778D"/>
    <w:rsid w:val="79737984"/>
    <w:rsid w:val="797F1EE5"/>
    <w:rsid w:val="799F7E92"/>
    <w:rsid w:val="79A36ECB"/>
    <w:rsid w:val="79B16289"/>
    <w:rsid w:val="79BC0A41"/>
    <w:rsid w:val="79C505D8"/>
    <w:rsid w:val="79C913B2"/>
    <w:rsid w:val="79D05A6A"/>
    <w:rsid w:val="79E41D86"/>
    <w:rsid w:val="79FF3899"/>
    <w:rsid w:val="7A044199"/>
    <w:rsid w:val="7A163689"/>
    <w:rsid w:val="7A2572F7"/>
    <w:rsid w:val="7A291E51"/>
    <w:rsid w:val="7A291FC5"/>
    <w:rsid w:val="7A3B0217"/>
    <w:rsid w:val="7A541141"/>
    <w:rsid w:val="7A546ECE"/>
    <w:rsid w:val="7A593A3B"/>
    <w:rsid w:val="7A5B54D2"/>
    <w:rsid w:val="7A60458E"/>
    <w:rsid w:val="7A656233"/>
    <w:rsid w:val="7A680BCB"/>
    <w:rsid w:val="7A70586D"/>
    <w:rsid w:val="7A75234D"/>
    <w:rsid w:val="7A807C8B"/>
    <w:rsid w:val="7A83640D"/>
    <w:rsid w:val="7AB001D5"/>
    <w:rsid w:val="7AC676A0"/>
    <w:rsid w:val="7AC93711"/>
    <w:rsid w:val="7AE31F99"/>
    <w:rsid w:val="7B02475C"/>
    <w:rsid w:val="7B072192"/>
    <w:rsid w:val="7B0C3D14"/>
    <w:rsid w:val="7B114DBF"/>
    <w:rsid w:val="7B170E7E"/>
    <w:rsid w:val="7B1C5A0D"/>
    <w:rsid w:val="7B413655"/>
    <w:rsid w:val="7B6C6C16"/>
    <w:rsid w:val="7B6E2D1E"/>
    <w:rsid w:val="7B8627B7"/>
    <w:rsid w:val="7B922B1F"/>
    <w:rsid w:val="7B9A1458"/>
    <w:rsid w:val="7B9A4DB4"/>
    <w:rsid w:val="7BA63759"/>
    <w:rsid w:val="7BC25E63"/>
    <w:rsid w:val="7BE350CF"/>
    <w:rsid w:val="7BF04E6D"/>
    <w:rsid w:val="7BF75F6E"/>
    <w:rsid w:val="7C12239B"/>
    <w:rsid w:val="7C246D74"/>
    <w:rsid w:val="7C351656"/>
    <w:rsid w:val="7C4411C4"/>
    <w:rsid w:val="7C484810"/>
    <w:rsid w:val="7C4E5B9F"/>
    <w:rsid w:val="7C52743D"/>
    <w:rsid w:val="7C577B04"/>
    <w:rsid w:val="7C6D278F"/>
    <w:rsid w:val="7C707862"/>
    <w:rsid w:val="7C7D63FF"/>
    <w:rsid w:val="7C7F3FAA"/>
    <w:rsid w:val="7C9E2682"/>
    <w:rsid w:val="7CB10B88"/>
    <w:rsid w:val="7CBB3234"/>
    <w:rsid w:val="7CC059B7"/>
    <w:rsid w:val="7CE2238F"/>
    <w:rsid w:val="7CE46554"/>
    <w:rsid w:val="7CE7227B"/>
    <w:rsid w:val="7CEE663A"/>
    <w:rsid w:val="7CEF0561"/>
    <w:rsid w:val="7CF22D0E"/>
    <w:rsid w:val="7CF408F3"/>
    <w:rsid w:val="7CF76237"/>
    <w:rsid w:val="7CFB65DD"/>
    <w:rsid w:val="7D0D1339"/>
    <w:rsid w:val="7D154543"/>
    <w:rsid w:val="7D1666BD"/>
    <w:rsid w:val="7D221505"/>
    <w:rsid w:val="7D250FF6"/>
    <w:rsid w:val="7D2A75E5"/>
    <w:rsid w:val="7D551A70"/>
    <w:rsid w:val="7D603342"/>
    <w:rsid w:val="7D604468"/>
    <w:rsid w:val="7D690EE2"/>
    <w:rsid w:val="7D7C595F"/>
    <w:rsid w:val="7D847ACA"/>
    <w:rsid w:val="7D8D1888"/>
    <w:rsid w:val="7D8F16AE"/>
    <w:rsid w:val="7DB56B0A"/>
    <w:rsid w:val="7DD547CA"/>
    <w:rsid w:val="7DEA1C21"/>
    <w:rsid w:val="7DF05160"/>
    <w:rsid w:val="7DF6029C"/>
    <w:rsid w:val="7E001BC6"/>
    <w:rsid w:val="7E097FCF"/>
    <w:rsid w:val="7E121CC9"/>
    <w:rsid w:val="7E1E40CF"/>
    <w:rsid w:val="7E3C65F7"/>
    <w:rsid w:val="7E3D0887"/>
    <w:rsid w:val="7E3F1C43"/>
    <w:rsid w:val="7E462FD2"/>
    <w:rsid w:val="7E5958EF"/>
    <w:rsid w:val="7E5B6A5D"/>
    <w:rsid w:val="7E7530DB"/>
    <w:rsid w:val="7E77762F"/>
    <w:rsid w:val="7E795155"/>
    <w:rsid w:val="7E79600D"/>
    <w:rsid w:val="7E9A1DC5"/>
    <w:rsid w:val="7E9C7095"/>
    <w:rsid w:val="7EAA17B2"/>
    <w:rsid w:val="7EAC032C"/>
    <w:rsid w:val="7EB22415"/>
    <w:rsid w:val="7EB52092"/>
    <w:rsid w:val="7EB77A2B"/>
    <w:rsid w:val="7EC363D0"/>
    <w:rsid w:val="7EE15ADE"/>
    <w:rsid w:val="7EE66F68"/>
    <w:rsid w:val="7EE82211"/>
    <w:rsid w:val="7F072F79"/>
    <w:rsid w:val="7F271055"/>
    <w:rsid w:val="7F280929"/>
    <w:rsid w:val="7F3177DE"/>
    <w:rsid w:val="7F3B240A"/>
    <w:rsid w:val="7F496B47"/>
    <w:rsid w:val="7F5646F6"/>
    <w:rsid w:val="7F683717"/>
    <w:rsid w:val="7F9D2BFB"/>
    <w:rsid w:val="7FAA00CF"/>
    <w:rsid w:val="7FB511F1"/>
    <w:rsid w:val="7FC13C73"/>
    <w:rsid w:val="7FC44AF6"/>
    <w:rsid w:val="7FE377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nhideWhenUsed="0" w:uiPriority="99"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0"/>
    <w:autoRedefine/>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57"/>
    <w:autoRedefine/>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112"/>
    <w:autoRedefine/>
    <w:qFormat/>
    <w:uiPriority w:val="0"/>
    <w:pPr>
      <w:keepNext/>
      <w:keepLines/>
      <w:spacing w:before="260" w:after="260" w:line="413" w:lineRule="auto"/>
      <w:outlineLvl w:val="2"/>
    </w:pPr>
    <w:rPr>
      <w:b/>
      <w:bCs/>
      <w:sz w:val="32"/>
      <w:szCs w:val="32"/>
    </w:rPr>
  </w:style>
  <w:style w:type="paragraph" w:styleId="5">
    <w:name w:val="heading 4"/>
    <w:basedOn w:val="1"/>
    <w:next w:val="1"/>
    <w:link w:val="94"/>
    <w:autoRedefine/>
    <w:qFormat/>
    <w:uiPriority w:val="0"/>
    <w:pPr>
      <w:keepNext/>
      <w:keepLines/>
      <w:spacing w:before="120" w:after="120"/>
      <w:outlineLvl w:val="3"/>
    </w:pPr>
    <w:rPr>
      <w:rFonts w:ascii="Arial" w:hAnsi="Arial" w:eastAsia="黑体"/>
      <w:b/>
      <w:sz w:val="28"/>
      <w:szCs w:val="20"/>
    </w:rPr>
  </w:style>
  <w:style w:type="paragraph" w:styleId="6">
    <w:name w:val="heading 5"/>
    <w:basedOn w:val="1"/>
    <w:next w:val="1"/>
    <w:link w:val="96"/>
    <w:autoRedefine/>
    <w:qFormat/>
    <w:uiPriority w:val="0"/>
    <w:pPr>
      <w:keepNext/>
      <w:keepLines/>
      <w:tabs>
        <w:tab w:val="left" w:pos="1008"/>
      </w:tabs>
      <w:spacing w:before="280" w:after="290" w:line="372" w:lineRule="auto"/>
      <w:ind w:left="1008" w:hanging="1008"/>
      <w:outlineLvl w:val="4"/>
    </w:pPr>
    <w:rPr>
      <w:b/>
      <w:bCs/>
      <w:sz w:val="28"/>
      <w:szCs w:val="28"/>
    </w:rPr>
  </w:style>
  <w:style w:type="paragraph" w:styleId="7">
    <w:name w:val="heading 6"/>
    <w:basedOn w:val="1"/>
    <w:next w:val="1"/>
    <w:link w:val="120"/>
    <w:autoRedefine/>
    <w:qFormat/>
    <w:uiPriority w:val="0"/>
    <w:pPr>
      <w:keepNext/>
      <w:keepLines/>
      <w:tabs>
        <w:tab w:val="left" w:pos="1152"/>
      </w:tabs>
      <w:spacing w:before="240" w:after="64" w:line="317" w:lineRule="auto"/>
      <w:ind w:left="1152" w:hanging="1152"/>
      <w:outlineLvl w:val="5"/>
    </w:pPr>
    <w:rPr>
      <w:rFonts w:ascii="Arial" w:hAnsi="Arial" w:eastAsia="黑体"/>
      <w:b/>
      <w:bCs/>
      <w:sz w:val="24"/>
    </w:rPr>
  </w:style>
  <w:style w:type="paragraph" w:styleId="8">
    <w:name w:val="heading 7"/>
    <w:basedOn w:val="1"/>
    <w:next w:val="1"/>
    <w:link w:val="76"/>
    <w:autoRedefine/>
    <w:qFormat/>
    <w:uiPriority w:val="0"/>
    <w:pPr>
      <w:keepNext/>
      <w:keepLines/>
      <w:tabs>
        <w:tab w:val="left" w:pos="1296"/>
      </w:tabs>
      <w:spacing w:before="240" w:after="64" w:line="317" w:lineRule="auto"/>
      <w:ind w:left="1296" w:hanging="1296"/>
      <w:outlineLvl w:val="6"/>
    </w:pPr>
    <w:rPr>
      <w:b/>
      <w:bCs/>
      <w:sz w:val="24"/>
    </w:rPr>
  </w:style>
  <w:style w:type="paragraph" w:styleId="9">
    <w:name w:val="heading 8"/>
    <w:basedOn w:val="1"/>
    <w:next w:val="1"/>
    <w:autoRedefine/>
    <w:qFormat/>
    <w:uiPriority w:val="0"/>
    <w:pPr>
      <w:keepNext/>
      <w:keepLines/>
      <w:tabs>
        <w:tab w:val="left" w:pos="1440"/>
      </w:tabs>
      <w:spacing w:before="240" w:after="64" w:line="317" w:lineRule="auto"/>
      <w:ind w:left="1440" w:hanging="1440"/>
      <w:outlineLvl w:val="7"/>
    </w:pPr>
    <w:rPr>
      <w:rFonts w:ascii="Arial" w:hAnsi="Arial" w:eastAsia="黑体"/>
      <w:sz w:val="24"/>
    </w:rPr>
  </w:style>
  <w:style w:type="paragraph" w:styleId="10">
    <w:name w:val="heading 9"/>
    <w:basedOn w:val="1"/>
    <w:next w:val="1"/>
    <w:autoRedefine/>
    <w:qFormat/>
    <w:uiPriority w:val="0"/>
    <w:pPr>
      <w:keepNext/>
      <w:keepLines/>
      <w:tabs>
        <w:tab w:val="left" w:pos="1584"/>
      </w:tabs>
      <w:spacing w:before="240" w:after="64" w:line="317" w:lineRule="auto"/>
      <w:ind w:left="1584" w:hanging="1584"/>
      <w:outlineLvl w:val="8"/>
    </w:pPr>
    <w:rPr>
      <w:rFonts w:ascii="Arial" w:hAnsi="Arial" w:eastAsia="黑体"/>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List Number 2"/>
    <w:basedOn w:val="1"/>
    <w:autoRedefine/>
    <w:qFormat/>
    <w:uiPriority w:val="0"/>
    <w:pPr>
      <w:tabs>
        <w:tab w:val="left" w:pos="1440"/>
      </w:tabs>
      <w:spacing w:line="360" w:lineRule="auto"/>
      <w:ind w:left="1440" w:hanging="1440"/>
    </w:pPr>
    <w:rPr>
      <w:sz w:val="24"/>
    </w:rPr>
  </w:style>
  <w:style w:type="paragraph" w:styleId="12">
    <w:name w:val="List Number"/>
    <w:basedOn w:val="1"/>
    <w:autoRedefine/>
    <w:qFormat/>
    <w:uiPriority w:val="0"/>
    <w:pPr>
      <w:tabs>
        <w:tab w:val="left" w:pos="2952"/>
      </w:tabs>
      <w:ind w:left="2952" w:hanging="432"/>
    </w:pPr>
  </w:style>
  <w:style w:type="paragraph" w:styleId="13">
    <w:name w:val="Normal Indent"/>
    <w:basedOn w:val="1"/>
    <w:autoRedefine/>
    <w:qFormat/>
    <w:uiPriority w:val="0"/>
    <w:pPr>
      <w:ind w:firstLine="420"/>
    </w:pPr>
    <w:rPr>
      <w:szCs w:val="20"/>
    </w:rPr>
  </w:style>
  <w:style w:type="paragraph" w:styleId="14">
    <w:name w:val="Document Map"/>
    <w:basedOn w:val="1"/>
    <w:link w:val="68"/>
    <w:autoRedefine/>
    <w:qFormat/>
    <w:uiPriority w:val="0"/>
    <w:pPr>
      <w:shd w:val="clear" w:color="auto" w:fill="000080"/>
    </w:pPr>
  </w:style>
  <w:style w:type="paragraph" w:styleId="15">
    <w:name w:val="annotation text"/>
    <w:basedOn w:val="1"/>
    <w:link w:val="114"/>
    <w:autoRedefine/>
    <w:qFormat/>
    <w:uiPriority w:val="99"/>
    <w:pPr>
      <w:jc w:val="left"/>
    </w:pPr>
    <w:rPr>
      <w:szCs w:val="20"/>
    </w:rPr>
  </w:style>
  <w:style w:type="paragraph" w:styleId="16">
    <w:name w:val="Salutation"/>
    <w:basedOn w:val="1"/>
    <w:next w:val="1"/>
    <w:autoRedefine/>
    <w:qFormat/>
    <w:uiPriority w:val="0"/>
    <w:rPr>
      <w:rFonts w:ascii="仿宋_GB2312" w:eastAsia="仿宋_GB2312"/>
      <w:sz w:val="28"/>
      <w:szCs w:val="20"/>
    </w:rPr>
  </w:style>
  <w:style w:type="paragraph" w:styleId="17">
    <w:name w:val="Body Text 3"/>
    <w:basedOn w:val="1"/>
    <w:autoRedefine/>
    <w:qFormat/>
    <w:uiPriority w:val="0"/>
    <w:pPr>
      <w:spacing w:after="120"/>
    </w:pPr>
    <w:rPr>
      <w:sz w:val="16"/>
      <w:szCs w:val="16"/>
    </w:rPr>
  </w:style>
  <w:style w:type="paragraph" w:styleId="18">
    <w:name w:val="Body Text"/>
    <w:basedOn w:val="1"/>
    <w:next w:val="1"/>
    <w:autoRedefine/>
    <w:qFormat/>
    <w:uiPriority w:val="0"/>
    <w:pPr>
      <w:jc w:val="center"/>
    </w:pPr>
    <w:rPr>
      <w:rFonts w:ascii="方正大黑简体" w:eastAsia="方正大黑简体"/>
      <w:kern w:val="44"/>
      <w:position w:val="6"/>
      <w:sz w:val="30"/>
      <w:szCs w:val="20"/>
    </w:rPr>
  </w:style>
  <w:style w:type="paragraph" w:styleId="19">
    <w:name w:val="Body Text Indent"/>
    <w:basedOn w:val="1"/>
    <w:autoRedefine/>
    <w:qFormat/>
    <w:uiPriority w:val="0"/>
    <w:pPr>
      <w:spacing w:after="120"/>
      <w:ind w:left="420" w:leftChars="200"/>
    </w:pPr>
  </w:style>
  <w:style w:type="paragraph" w:styleId="20">
    <w:name w:val="toc 3"/>
    <w:basedOn w:val="1"/>
    <w:next w:val="1"/>
    <w:autoRedefine/>
    <w:qFormat/>
    <w:uiPriority w:val="39"/>
    <w:pPr>
      <w:ind w:left="840" w:leftChars="400"/>
    </w:pPr>
  </w:style>
  <w:style w:type="paragraph" w:styleId="21">
    <w:name w:val="Plain Text"/>
    <w:basedOn w:val="1"/>
    <w:link w:val="97"/>
    <w:autoRedefine/>
    <w:qFormat/>
    <w:uiPriority w:val="0"/>
    <w:rPr>
      <w:rFonts w:ascii="宋体" w:hAnsi="Courier New"/>
      <w:szCs w:val="21"/>
    </w:rPr>
  </w:style>
  <w:style w:type="paragraph" w:styleId="22">
    <w:name w:val="index 3"/>
    <w:basedOn w:val="1"/>
    <w:next w:val="1"/>
    <w:autoRedefine/>
    <w:qFormat/>
    <w:uiPriority w:val="0"/>
    <w:pPr>
      <w:ind w:left="840"/>
    </w:pPr>
    <w:rPr>
      <w:szCs w:val="20"/>
    </w:rPr>
  </w:style>
  <w:style w:type="paragraph" w:styleId="23">
    <w:name w:val="Date"/>
    <w:basedOn w:val="1"/>
    <w:next w:val="1"/>
    <w:autoRedefine/>
    <w:qFormat/>
    <w:uiPriority w:val="0"/>
    <w:pPr>
      <w:ind w:left="100" w:leftChars="2500"/>
    </w:pPr>
    <w:rPr>
      <w:sz w:val="28"/>
      <w:szCs w:val="20"/>
    </w:rPr>
  </w:style>
  <w:style w:type="paragraph" w:styleId="24">
    <w:name w:val="Body Text Indent 2"/>
    <w:basedOn w:val="1"/>
    <w:next w:val="1"/>
    <w:link w:val="62"/>
    <w:autoRedefine/>
    <w:qFormat/>
    <w:uiPriority w:val="0"/>
    <w:pPr>
      <w:spacing w:line="400" w:lineRule="exact"/>
      <w:ind w:firstLine="480"/>
    </w:pPr>
    <w:rPr>
      <w:rFonts w:ascii="宋体" w:hAnsi="宋体"/>
      <w:sz w:val="24"/>
    </w:rPr>
  </w:style>
  <w:style w:type="paragraph" w:styleId="25">
    <w:name w:val="Balloon Text"/>
    <w:basedOn w:val="1"/>
    <w:link w:val="105"/>
    <w:autoRedefine/>
    <w:qFormat/>
    <w:uiPriority w:val="0"/>
    <w:rPr>
      <w:sz w:val="18"/>
      <w:szCs w:val="18"/>
    </w:rPr>
  </w:style>
  <w:style w:type="paragraph" w:styleId="26">
    <w:name w:val="footer"/>
    <w:basedOn w:val="1"/>
    <w:link w:val="58"/>
    <w:autoRedefine/>
    <w:qFormat/>
    <w:uiPriority w:val="99"/>
    <w:pPr>
      <w:tabs>
        <w:tab w:val="center" w:pos="4153"/>
        <w:tab w:val="right" w:pos="8306"/>
      </w:tabs>
      <w:snapToGrid w:val="0"/>
      <w:jc w:val="left"/>
    </w:pPr>
    <w:rPr>
      <w:sz w:val="18"/>
      <w:szCs w:val="18"/>
    </w:rPr>
  </w:style>
  <w:style w:type="paragraph" w:styleId="27">
    <w:name w:val="header"/>
    <w:basedOn w:val="1"/>
    <w:link w:val="89"/>
    <w:autoRedefine/>
    <w:qFormat/>
    <w:uiPriority w:val="0"/>
    <w:pPr>
      <w:pBdr>
        <w:bottom w:val="single" w:color="auto" w:sz="6" w:space="1"/>
      </w:pBdr>
      <w:tabs>
        <w:tab w:val="center" w:pos="4153"/>
        <w:tab w:val="right" w:pos="8306"/>
      </w:tabs>
      <w:snapToGrid w:val="0"/>
      <w:jc w:val="center"/>
    </w:pPr>
    <w:rPr>
      <w:sz w:val="18"/>
      <w:szCs w:val="18"/>
    </w:rPr>
  </w:style>
  <w:style w:type="paragraph" w:styleId="28">
    <w:name w:val="Signature"/>
    <w:basedOn w:val="1"/>
    <w:autoRedefine/>
    <w:qFormat/>
    <w:uiPriority w:val="0"/>
    <w:pPr>
      <w:adjustRightInd w:val="0"/>
      <w:spacing w:after="600" w:line="312" w:lineRule="atLeast"/>
      <w:jc w:val="center"/>
      <w:textAlignment w:val="baseline"/>
    </w:pPr>
    <w:rPr>
      <w:rFonts w:eastAsia="仿宋_GB2312"/>
      <w:kern w:val="0"/>
      <w:sz w:val="24"/>
      <w:szCs w:val="20"/>
    </w:rPr>
  </w:style>
  <w:style w:type="paragraph" w:styleId="29">
    <w:name w:val="toc 1"/>
    <w:basedOn w:val="1"/>
    <w:next w:val="1"/>
    <w:autoRedefine/>
    <w:qFormat/>
    <w:uiPriority w:val="39"/>
  </w:style>
  <w:style w:type="paragraph" w:styleId="30">
    <w:name w:val="index heading"/>
    <w:basedOn w:val="1"/>
    <w:next w:val="31"/>
    <w:autoRedefine/>
    <w:qFormat/>
    <w:uiPriority w:val="0"/>
    <w:rPr>
      <w:szCs w:val="20"/>
    </w:rPr>
  </w:style>
  <w:style w:type="paragraph" w:styleId="31">
    <w:name w:val="index 1"/>
    <w:basedOn w:val="1"/>
    <w:next w:val="1"/>
    <w:autoRedefine/>
    <w:qFormat/>
    <w:uiPriority w:val="0"/>
    <w:pPr>
      <w:tabs>
        <w:tab w:val="left" w:pos="1260"/>
      </w:tabs>
      <w:jc w:val="center"/>
    </w:pPr>
    <w:rPr>
      <w:rFonts w:ascii="仿宋_GB2312" w:hAnsi="宋体" w:eastAsia="仿宋_GB2312"/>
      <w:sz w:val="30"/>
      <w:szCs w:val="20"/>
    </w:rPr>
  </w:style>
  <w:style w:type="paragraph" w:styleId="32">
    <w:name w:val="Subtitle"/>
    <w:basedOn w:val="1"/>
    <w:next w:val="1"/>
    <w:link w:val="61"/>
    <w:autoRedefine/>
    <w:qFormat/>
    <w:uiPriority w:val="0"/>
    <w:pPr>
      <w:widowControl/>
      <w:spacing w:after="560"/>
      <w:jc w:val="center"/>
    </w:pPr>
    <w:rPr>
      <w:rFonts w:ascii="Cambria" w:hAnsi="Cambria"/>
      <w:caps/>
      <w:spacing w:val="20"/>
      <w:kern w:val="0"/>
      <w:sz w:val="18"/>
      <w:szCs w:val="18"/>
      <w:lang w:eastAsia="en-US" w:bidi="en-US"/>
    </w:rPr>
  </w:style>
  <w:style w:type="paragraph" w:styleId="33">
    <w:name w:val="footnote text"/>
    <w:basedOn w:val="1"/>
    <w:autoRedefine/>
    <w:qFormat/>
    <w:uiPriority w:val="0"/>
    <w:pPr>
      <w:snapToGrid w:val="0"/>
      <w:jc w:val="left"/>
    </w:pPr>
    <w:rPr>
      <w:sz w:val="18"/>
      <w:szCs w:val="18"/>
    </w:rPr>
  </w:style>
  <w:style w:type="paragraph" w:styleId="34">
    <w:name w:val="Body Text Indent 3"/>
    <w:basedOn w:val="1"/>
    <w:autoRedefine/>
    <w:qFormat/>
    <w:uiPriority w:val="0"/>
    <w:pPr>
      <w:spacing w:before="120" w:after="120" w:line="264" w:lineRule="auto"/>
      <w:ind w:left="480"/>
    </w:pPr>
    <w:rPr>
      <w:b/>
      <w:bCs/>
      <w:sz w:val="24"/>
      <w:szCs w:val="20"/>
    </w:rPr>
  </w:style>
  <w:style w:type="paragraph" w:styleId="35">
    <w:name w:val="toc 2"/>
    <w:basedOn w:val="1"/>
    <w:next w:val="1"/>
    <w:autoRedefine/>
    <w:qFormat/>
    <w:uiPriority w:val="39"/>
    <w:pPr>
      <w:ind w:left="420" w:leftChars="200"/>
    </w:pPr>
  </w:style>
  <w:style w:type="paragraph" w:styleId="36">
    <w:name w:val="Body Text 2"/>
    <w:basedOn w:val="1"/>
    <w:autoRedefine/>
    <w:qFormat/>
    <w:uiPriority w:val="0"/>
    <w:pPr>
      <w:jc w:val="center"/>
    </w:pPr>
    <w:rPr>
      <w:b/>
      <w:bCs/>
      <w:sz w:val="72"/>
      <w:szCs w:val="20"/>
    </w:rPr>
  </w:style>
  <w:style w:type="paragraph" w:styleId="37">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39">
    <w:name w:val="Title"/>
    <w:basedOn w:val="1"/>
    <w:autoRedefine/>
    <w:qFormat/>
    <w:uiPriority w:val="0"/>
    <w:pPr>
      <w:widowControl/>
      <w:overflowPunct w:val="0"/>
      <w:autoSpaceDE w:val="0"/>
      <w:autoSpaceDN w:val="0"/>
      <w:adjustRightInd w:val="0"/>
      <w:spacing w:line="420" w:lineRule="exact"/>
      <w:jc w:val="center"/>
      <w:textAlignment w:val="baseline"/>
    </w:pPr>
    <w:rPr>
      <w:rFonts w:eastAsia="黑体"/>
      <w:b/>
      <w:kern w:val="0"/>
      <w:sz w:val="28"/>
      <w:szCs w:val="20"/>
      <w:lang w:val="en-GB"/>
    </w:rPr>
  </w:style>
  <w:style w:type="paragraph" w:styleId="40">
    <w:name w:val="annotation subject"/>
    <w:basedOn w:val="15"/>
    <w:next w:val="15"/>
    <w:autoRedefine/>
    <w:qFormat/>
    <w:uiPriority w:val="0"/>
    <w:rPr>
      <w:b/>
      <w:bCs/>
      <w:szCs w:val="24"/>
    </w:rPr>
  </w:style>
  <w:style w:type="paragraph" w:styleId="41">
    <w:name w:val="Body Text First Indent"/>
    <w:basedOn w:val="18"/>
    <w:link w:val="69"/>
    <w:autoRedefine/>
    <w:qFormat/>
    <w:uiPriority w:val="0"/>
    <w:pPr>
      <w:spacing w:after="120"/>
      <w:ind w:firstLine="420" w:firstLineChars="100"/>
      <w:jc w:val="both"/>
    </w:pPr>
    <w:rPr>
      <w:rFonts w:ascii="Calibri" w:eastAsia="宋体"/>
      <w:kern w:val="2"/>
      <w:position w:val="0"/>
      <w:sz w:val="21"/>
      <w:szCs w:val="24"/>
    </w:rPr>
  </w:style>
  <w:style w:type="table" w:styleId="43">
    <w:name w:val="Table Grid"/>
    <w:basedOn w:val="42"/>
    <w:autoRedefine/>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5">
    <w:name w:val="Strong"/>
    <w:basedOn w:val="44"/>
    <w:autoRedefine/>
    <w:qFormat/>
    <w:uiPriority w:val="22"/>
    <w:rPr>
      <w:b/>
      <w:bCs/>
    </w:rPr>
  </w:style>
  <w:style w:type="character" w:styleId="46">
    <w:name w:val="page number"/>
    <w:basedOn w:val="44"/>
    <w:autoRedefine/>
    <w:qFormat/>
    <w:uiPriority w:val="0"/>
  </w:style>
  <w:style w:type="character" w:styleId="47">
    <w:name w:val="FollowedHyperlink"/>
    <w:basedOn w:val="44"/>
    <w:autoRedefine/>
    <w:qFormat/>
    <w:uiPriority w:val="0"/>
    <w:rPr>
      <w:color w:val="000000"/>
      <w:sz w:val="18"/>
      <w:szCs w:val="18"/>
      <w:u w:val="none"/>
    </w:rPr>
  </w:style>
  <w:style w:type="character" w:styleId="48">
    <w:name w:val="Emphasis"/>
    <w:basedOn w:val="44"/>
    <w:autoRedefine/>
    <w:qFormat/>
    <w:uiPriority w:val="20"/>
  </w:style>
  <w:style w:type="character" w:styleId="49">
    <w:name w:val="line number"/>
    <w:basedOn w:val="44"/>
    <w:autoRedefine/>
    <w:qFormat/>
    <w:uiPriority w:val="0"/>
  </w:style>
  <w:style w:type="character" w:styleId="50">
    <w:name w:val="Hyperlink"/>
    <w:basedOn w:val="44"/>
    <w:autoRedefine/>
    <w:qFormat/>
    <w:uiPriority w:val="99"/>
    <w:rPr>
      <w:color w:val="000000"/>
      <w:sz w:val="18"/>
      <w:szCs w:val="18"/>
      <w:u w:val="none"/>
    </w:rPr>
  </w:style>
  <w:style w:type="character" w:styleId="51">
    <w:name w:val="HTML Code"/>
    <w:basedOn w:val="44"/>
    <w:autoRedefine/>
    <w:qFormat/>
    <w:uiPriority w:val="99"/>
    <w:rPr>
      <w:rFonts w:ascii="Courier New" w:hAnsi="Courier New"/>
      <w:sz w:val="20"/>
    </w:rPr>
  </w:style>
  <w:style w:type="character" w:styleId="52">
    <w:name w:val="annotation reference"/>
    <w:autoRedefine/>
    <w:qFormat/>
    <w:uiPriority w:val="0"/>
    <w:rPr>
      <w:sz w:val="21"/>
      <w:szCs w:val="21"/>
    </w:rPr>
  </w:style>
  <w:style w:type="character" w:styleId="53">
    <w:name w:val="footnote reference"/>
    <w:autoRedefine/>
    <w:qFormat/>
    <w:uiPriority w:val="0"/>
    <w:rPr>
      <w:vertAlign w:val="superscript"/>
    </w:rPr>
  </w:style>
  <w:style w:type="paragraph" w:customStyle="1" w:styleId="54">
    <w:name w:val="索引 41"/>
    <w:basedOn w:val="1"/>
    <w:next w:val="1"/>
    <w:autoRedefine/>
    <w:semiHidden/>
    <w:qFormat/>
    <w:uiPriority w:val="0"/>
    <w:pPr>
      <w:ind w:left="1260"/>
    </w:pPr>
    <w:rPr>
      <w:rFonts w:eastAsia="Calibri" w:cs="宋体"/>
      <w:sz w:val="20"/>
      <w:lang w:val="zh-CN"/>
    </w:rPr>
  </w:style>
  <w:style w:type="paragraph" w:customStyle="1" w:styleId="55">
    <w:name w:val="首行缩进"/>
    <w:basedOn w:val="1"/>
    <w:autoRedefine/>
    <w:qFormat/>
    <w:uiPriority w:val="0"/>
    <w:pPr>
      <w:ind w:firstLine="480" w:firstLineChars="200"/>
    </w:pPr>
    <w:rPr>
      <w:lang w:val="zh-CN"/>
    </w:rPr>
  </w:style>
  <w:style w:type="paragraph" w:styleId="56">
    <w:name w:val="List Paragraph"/>
    <w:basedOn w:val="1"/>
    <w:autoRedefine/>
    <w:qFormat/>
    <w:uiPriority w:val="99"/>
    <w:pPr>
      <w:numPr>
        <w:ilvl w:val="0"/>
        <w:numId w:val="1"/>
      </w:numPr>
      <w:spacing w:line="384" w:lineRule="auto"/>
    </w:pPr>
  </w:style>
  <w:style w:type="character" w:customStyle="1" w:styleId="57">
    <w:name w:val="标题 2 字符"/>
    <w:link w:val="3"/>
    <w:autoRedefine/>
    <w:qFormat/>
    <w:uiPriority w:val="0"/>
    <w:rPr>
      <w:rFonts w:ascii="Arial" w:hAnsi="Arial" w:eastAsia="黑体"/>
      <w:b/>
      <w:bCs/>
      <w:kern w:val="2"/>
      <w:sz w:val="32"/>
      <w:szCs w:val="32"/>
      <w:lang w:val="en-US" w:eastAsia="zh-CN" w:bidi="ar-SA"/>
    </w:rPr>
  </w:style>
  <w:style w:type="character" w:customStyle="1" w:styleId="58">
    <w:name w:val="页脚 字符"/>
    <w:link w:val="26"/>
    <w:autoRedefine/>
    <w:qFormat/>
    <w:uiPriority w:val="99"/>
    <w:rPr>
      <w:rFonts w:eastAsia="宋体"/>
      <w:kern w:val="2"/>
      <w:sz w:val="18"/>
      <w:szCs w:val="18"/>
      <w:lang w:val="en-US" w:eastAsia="zh-CN" w:bidi="ar-SA"/>
    </w:rPr>
  </w:style>
  <w:style w:type="character" w:customStyle="1" w:styleId="59">
    <w:name w:val="小四 段落 宋体 Char1"/>
    <w:autoRedefine/>
    <w:qFormat/>
    <w:uiPriority w:val="0"/>
    <w:rPr>
      <w:rFonts w:eastAsia="宋体"/>
      <w:kern w:val="2"/>
      <w:sz w:val="24"/>
      <w:szCs w:val="24"/>
      <w:lang w:val="en-US" w:eastAsia="zh-CN" w:bidi="ar-SA"/>
    </w:rPr>
  </w:style>
  <w:style w:type="character" w:customStyle="1" w:styleId="60">
    <w:name w:val="Header Char_4951057e-e981-493a-9b99-0bc01d329acb"/>
    <w:autoRedefine/>
    <w:qFormat/>
    <w:uiPriority w:val="0"/>
    <w:rPr>
      <w:rFonts w:cs="Times New Roman"/>
      <w:sz w:val="18"/>
      <w:szCs w:val="18"/>
    </w:rPr>
  </w:style>
  <w:style w:type="character" w:customStyle="1" w:styleId="61">
    <w:name w:val="副标题 字符"/>
    <w:link w:val="32"/>
    <w:autoRedefine/>
    <w:qFormat/>
    <w:uiPriority w:val="0"/>
    <w:rPr>
      <w:rFonts w:ascii="Cambria" w:hAnsi="Cambria" w:eastAsia="宋体"/>
      <w:caps/>
      <w:spacing w:val="20"/>
      <w:sz w:val="18"/>
      <w:szCs w:val="18"/>
      <w:lang w:val="en-US" w:eastAsia="en-US" w:bidi="en-US"/>
    </w:rPr>
  </w:style>
  <w:style w:type="character" w:customStyle="1" w:styleId="62">
    <w:name w:val="正文文本缩进 2 字符"/>
    <w:link w:val="24"/>
    <w:autoRedefine/>
    <w:qFormat/>
    <w:uiPriority w:val="0"/>
    <w:rPr>
      <w:rFonts w:ascii="宋体" w:hAnsi="宋体"/>
      <w:kern w:val="2"/>
      <w:sz w:val="24"/>
      <w:szCs w:val="24"/>
    </w:rPr>
  </w:style>
  <w:style w:type="character" w:customStyle="1" w:styleId="63">
    <w:name w:val="content_lineheight1"/>
    <w:basedOn w:val="44"/>
    <w:autoRedefine/>
    <w:qFormat/>
    <w:uiPriority w:val="0"/>
  </w:style>
  <w:style w:type="character" w:customStyle="1" w:styleId="64">
    <w:name w:val="1page sec3 Char"/>
    <w:autoRedefine/>
    <w:qFormat/>
    <w:uiPriority w:val="0"/>
    <w:rPr>
      <w:rFonts w:eastAsia="宋体"/>
      <w:kern w:val="2"/>
      <w:sz w:val="18"/>
      <w:lang w:val="en-US" w:eastAsia="zh-CN"/>
    </w:rPr>
  </w:style>
  <w:style w:type="character" w:customStyle="1" w:styleId="65">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uiPriority w:val="0"/>
    <w:rPr>
      <w:rFonts w:eastAsia="宋体"/>
      <w:b/>
      <w:bCs/>
      <w:kern w:val="2"/>
      <w:sz w:val="32"/>
      <w:szCs w:val="32"/>
      <w:lang w:val="en-US" w:eastAsia="zh-CN" w:bidi="ar-SA"/>
    </w:rPr>
  </w:style>
  <w:style w:type="character" w:customStyle="1" w:styleId="66">
    <w:name w:val="批注文字 Char1"/>
    <w:autoRedefine/>
    <w:qFormat/>
    <w:uiPriority w:val="99"/>
    <w:rPr>
      <w:rFonts w:ascii="Times New Roman" w:hAnsi="Times New Roman" w:eastAsia="宋体" w:cs="Times New Roman"/>
      <w:szCs w:val="24"/>
    </w:rPr>
  </w:style>
  <w:style w:type="character" w:customStyle="1" w:styleId="67">
    <w:name w:val="Heading 2 Char_49332dc2-062b-4bb5-8784-2049397ab926"/>
    <w:autoRedefine/>
    <w:qFormat/>
    <w:uiPriority w:val="0"/>
    <w:rPr>
      <w:rFonts w:ascii="Calibri Light" w:hAnsi="Calibri Light" w:eastAsia="宋体" w:cs="Times New Roman"/>
      <w:b/>
      <w:bCs/>
      <w:sz w:val="32"/>
      <w:szCs w:val="32"/>
    </w:rPr>
  </w:style>
  <w:style w:type="character" w:customStyle="1" w:styleId="68">
    <w:name w:val="文档结构图 字符"/>
    <w:link w:val="14"/>
    <w:autoRedefine/>
    <w:qFormat/>
    <w:uiPriority w:val="0"/>
    <w:rPr>
      <w:rFonts w:eastAsia="宋体"/>
      <w:kern w:val="2"/>
      <w:sz w:val="21"/>
      <w:szCs w:val="24"/>
      <w:lang w:val="en-US" w:eastAsia="zh-CN" w:bidi="ar-SA"/>
    </w:rPr>
  </w:style>
  <w:style w:type="character" w:customStyle="1" w:styleId="69">
    <w:name w:val="正文首行缩进 字符"/>
    <w:link w:val="41"/>
    <w:autoRedefine/>
    <w:qFormat/>
    <w:uiPriority w:val="0"/>
    <w:rPr>
      <w:rFonts w:eastAsia="宋体"/>
      <w:kern w:val="2"/>
      <w:sz w:val="21"/>
      <w:szCs w:val="24"/>
      <w:lang w:val="en-US" w:eastAsia="zh-CN" w:bidi="ar-SA"/>
    </w:rPr>
  </w:style>
  <w:style w:type="character" w:customStyle="1" w:styleId="70">
    <w:name w:val="标题 1 字符"/>
    <w:link w:val="2"/>
    <w:autoRedefine/>
    <w:qFormat/>
    <w:uiPriority w:val="0"/>
    <w:rPr>
      <w:rFonts w:eastAsia="宋体"/>
      <w:b/>
      <w:bCs/>
      <w:kern w:val="44"/>
      <w:sz w:val="44"/>
      <w:szCs w:val="44"/>
      <w:lang w:val="en-US" w:eastAsia="zh-CN" w:bidi="ar-SA"/>
    </w:rPr>
  </w:style>
  <w:style w:type="character" w:customStyle="1" w:styleId="71">
    <w:name w:val="标准文本 Char Char"/>
    <w:autoRedefine/>
    <w:qFormat/>
    <w:uiPriority w:val="0"/>
    <w:rPr>
      <w:rFonts w:eastAsia="宋体" w:cs="宋体"/>
      <w:kern w:val="2"/>
      <w:sz w:val="24"/>
      <w:szCs w:val="24"/>
      <w:lang w:val="en-US" w:eastAsia="zh-CN" w:bidi="ar-SA"/>
    </w:rPr>
  </w:style>
  <w:style w:type="character" w:customStyle="1" w:styleId="72">
    <w:name w:val="正文缩进 Char1"/>
    <w:link w:val="73"/>
    <w:autoRedefine/>
    <w:qFormat/>
    <w:uiPriority w:val="0"/>
    <w:rPr>
      <w:rFonts w:eastAsia="宋体"/>
      <w:lang w:bidi="ar-SA"/>
    </w:rPr>
  </w:style>
  <w:style w:type="paragraph" w:customStyle="1" w:styleId="73">
    <w:name w:val="正文缩进1"/>
    <w:basedOn w:val="1"/>
    <w:link w:val="72"/>
    <w:autoRedefine/>
    <w:qFormat/>
    <w:uiPriority w:val="0"/>
    <w:pPr>
      <w:ind w:firstLine="420"/>
    </w:pPr>
    <w:rPr>
      <w:kern w:val="0"/>
      <w:sz w:val="20"/>
      <w:szCs w:val="20"/>
    </w:rPr>
  </w:style>
  <w:style w:type="character" w:customStyle="1" w:styleId="74">
    <w:name w:val="批注文字 字符"/>
    <w:autoRedefine/>
    <w:qFormat/>
    <w:uiPriority w:val="99"/>
    <w:rPr>
      <w:kern w:val="2"/>
      <w:sz w:val="21"/>
    </w:rPr>
  </w:style>
  <w:style w:type="character" w:customStyle="1" w:styleId="75">
    <w:name w:val="3zw"/>
    <w:basedOn w:val="44"/>
    <w:autoRedefine/>
    <w:qFormat/>
    <w:uiPriority w:val="0"/>
  </w:style>
  <w:style w:type="character" w:customStyle="1" w:styleId="76">
    <w:name w:val="标题 7 字符"/>
    <w:link w:val="8"/>
    <w:autoRedefine/>
    <w:qFormat/>
    <w:uiPriority w:val="0"/>
    <w:rPr>
      <w:rFonts w:eastAsia="宋体"/>
      <w:b/>
      <w:bCs/>
      <w:kern w:val="2"/>
      <w:sz w:val="24"/>
      <w:szCs w:val="24"/>
      <w:lang w:val="en-US" w:eastAsia="zh-CN" w:bidi="ar-SA"/>
    </w:rPr>
  </w:style>
  <w:style w:type="character" w:customStyle="1" w:styleId="77">
    <w:name w:val="Footer Char_95ef3b7f-de4e-43bc-bbb3-10ca92ceb729"/>
    <w:autoRedefine/>
    <w:qFormat/>
    <w:uiPriority w:val="0"/>
    <w:rPr>
      <w:rFonts w:cs="Times New Roman"/>
      <w:sz w:val="18"/>
      <w:szCs w:val="18"/>
    </w:rPr>
  </w:style>
  <w:style w:type="character" w:customStyle="1" w:styleId="78">
    <w:name w:val="Heading 1 Char_7e620061-1f06-4625-8ecc-771dd7c8b54d"/>
    <w:autoRedefine/>
    <w:qFormat/>
    <w:uiPriority w:val="0"/>
    <w:rPr>
      <w:rFonts w:ascii="Times New Roman" w:hAnsi="Times New Roman" w:eastAsia="宋体" w:cs="Times New Roman"/>
      <w:b/>
      <w:bCs/>
      <w:kern w:val="44"/>
      <w:sz w:val="44"/>
      <w:szCs w:val="44"/>
    </w:rPr>
  </w:style>
  <w:style w:type="character" w:customStyle="1" w:styleId="79">
    <w:name w:val="样式 宋体 小四"/>
    <w:autoRedefine/>
    <w:qFormat/>
    <w:uiPriority w:val="0"/>
    <w:rPr>
      <w:rFonts w:ascii="宋体" w:hAnsi="宋体"/>
      <w:sz w:val="24"/>
    </w:rPr>
  </w:style>
  <w:style w:type="character" w:customStyle="1" w:styleId="80">
    <w:name w:val="华宇段落1 Char Char Char"/>
    <w:autoRedefine/>
    <w:qFormat/>
    <w:uiPriority w:val="0"/>
    <w:rPr>
      <w:rFonts w:eastAsia="宋体"/>
      <w:bCs/>
      <w:kern w:val="2"/>
      <w:sz w:val="24"/>
      <w:szCs w:val="24"/>
      <w:lang w:val="en-US" w:eastAsia="zh-CN" w:bidi="ar-SA"/>
    </w:rPr>
  </w:style>
  <w:style w:type="character" w:customStyle="1" w:styleId="81">
    <w:name w:val="无间隔 Char"/>
    <w:link w:val="82"/>
    <w:autoRedefine/>
    <w:qFormat/>
    <w:uiPriority w:val="0"/>
    <w:rPr>
      <w:rFonts w:eastAsia="微软雅黑"/>
      <w:kern w:val="2"/>
      <w:sz w:val="24"/>
      <w:szCs w:val="22"/>
      <w:lang w:val="en-US" w:eastAsia="zh-CN" w:bidi="ar-SA"/>
    </w:rPr>
  </w:style>
  <w:style w:type="paragraph" w:customStyle="1" w:styleId="82">
    <w:name w:val="无间隔1"/>
    <w:link w:val="81"/>
    <w:autoRedefine/>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83">
    <w:name w:val="t1"/>
    <w:autoRedefine/>
    <w:qFormat/>
    <w:uiPriority w:val="0"/>
  </w:style>
  <w:style w:type="character" w:customStyle="1" w:styleId="84">
    <w:name w:val="小四 段落 宋体 Char Char Char Char1"/>
    <w:autoRedefine/>
    <w:qFormat/>
    <w:uiPriority w:val="0"/>
    <w:rPr>
      <w:rFonts w:eastAsia="宋体"/>
      <w:kern w:val="2"/>
      <w:sz w:val="24"/>
      <w:szCs w:val="24"/>
      <w:lang w:val="en-US" w:eastAsia="zh-CN" w:bidi="ar-SA"/>
    </w:rPr>
  </w:style>
  <w:style w:type="character" w:customStyle="1" w:styleId="85">
    <w:name w:val="样式 宋体"/>
    <w:autoRedefine/>
    <w:qFormat/>
    <w:uiPriority w:val="0"/>
    <w:rPr>
      <w:rFonts w:ascii="宋体" w:hAnsi="宋体" w:eastAsia="宋体"/>
      <w:sz w:val="24"/>
      <w:szCs w:val="24"/>
    </w:rPr>
  </w:style>
  <w:style w:type="character" w:customStyle="1" w:styleId="86">
    <w:name w:val="h Char Char"/>
    <w:autoRedefine/>
    <w:qFormat/>
    <w:uiPriority w:val="0"/>
    <w:rPr>
      <w:kern w:val="2"/>
      <w:sz w:val="18"/>
      <w:szCs w:val="18"/>
    </w:rPr>
  </w:style>
  <w:style w:type="character" w:customStyle="1" w:styleId="87">
    <w:name w:val="subtitle1"/>
    <w:autoRedefine/>
    <w:qFormat/>
    <w:uiPriority w:val="0"/>
    <w:rPr>
      <w:rFonts w:hint="default" w:ascii="Georgia" w:hAnsi="Georgia"/>
      <w:b/>
      <w:bCs/>
      <w:color w:val="666666"/>
      <w:sz w:val="18"/>
      <w:szCs w:val="18"/>
    </w:rPr>
  </w:style>
  <w:style w:type="character" w:customStyle="1" w:styleId="88">
    <w:name w:val="textcontents"/>
    <w:basedOn w:val="44"/>
    <w:autoRedefine/>
    <w:qFormat/>
    <w:uiPriority w:val="0"/>
  </w:style>
  <w:style w:type="character" w:customStyle="1" w:styleId="89">
    <w:name w:val="页眉 字符"/>
    <w:link w:val="27"/>
    <w:autoRedefine/>
    <w:qFormat/>
    <w:uiPriority w:val="0"/>
    <w:rPr>
      <w:rFonts w:eastAsia="宋体"/>
      <w:kern w:val="2"/>
      <w:sz w:val="18"/>
      <w:szCs w:val="18"/>
      <w:lang w:val="en-US" w:eastAsia="zh-CN" w:bidi="ar-SA"/>
    </w:rPr>
  </w:style>
  <w:style w:type="character" w:customStyle="1" w:styleId="90">
    <w:name w:val="normalfont1"/>
    <w:autoRedefine/>
    <w:qFormat/>
    <w:uiPriority w:val="0"/>
    <w:rPr>
      <w:rFonts w:hint="default" w:ascii="ˎ̥" w:hAnsi="ˎ̥"/>
      <w:sz w:val="18"/>
      <w:szCs w:val="18"/>
      <w:u w:val="none"/>
    </w:rPr>
  </w:style>
  <w:style w:type="character" w:customStyle="1" w:styleId="91">
    <w:name w:val="标题 3 Char"/>
    <w:autoRedefine/>
    <w:qFormat/>
    <w:uiPriority w:val="0"/>
    <w:rPr>
      <w:rFonts w:eastAsia="仿宋_GB2312"/>
      <w:b/>
      <w:bCs/>
      <w:kern w:val="2"/>
      <w:sz w:val="28"/>
      <w:szCs w:val="32"/>
      <w:lang w:val="en-US" w:eastAsia="zh-CN" w:bidi="ar-SA"/>
    </w:rPr>
  </w:style>
  <w:style w:type="character" w:customStyle="1" w:styleId="92">
    <w:name w:val="明显引用 Char"/>
    <w:link w:val="93"/>
    <w:autoRedefine/>
    <w:qFormat/>
    <w:uiPriority w:val="0"/>
    <w:rPr>
      <w:rFonts w:ascii="Cambria" w:hAnsi="Cambria" w:eastAsia="宋体"/>
      <w:caps/>
      <w:color w:val="622423"/>
      <w:spacing w:val="5"/>
      <w:lang w:val="en-US" w:eastAsia="en-US" w:bidi="en-US"/>
    </w:rPr>
  </w:style>
  <w:style w:type="paragraph" w:customStyle="1" w:styleId="93">
    <w:name w:val="明显引用1"/>
    <w:basedOn w:val="1"/>
    <w:next w:val="1"/>
    <w:link w:val="92"/>
    <w:autoRedefine/>
    <w:qFormat/>
    <w:uiPriority w:val="0"/>
    <w:pPr>
      <w:widowControl/>
      <w:pBdr>
        <w:top w:val="dotted" w:color="632423" w:sz="2" w:space="10"/>
        <w:bottom w:val="dotted" w:color="632423" w:sz="2" w:space="4"/>
      </w:pBdr>
      <w:spacing w:before="160" w:after="200" w:line="300" w:lineRule="auto"/>
      <w:ind w:left="1440" w:right="1440"/>
      <w:jc w:val="left"/>
    </w:pPr>
    <w:rPr>
      <w:rFonts w:ascii="Cambria" w:hAnsi="Cambria"/>
      <w:caps/>
      <w:color w:val="622423"/>
      <w:spacing w:val="5"/>
      <w:kern w:val="0"/>
      <w:sz w:val="20"/>
      <w:szCs w:val="20"/>
      <w:lang w:eastAsia="en-US" w:bidi="en-US"/>
    </w:rPr>
  </w:style>
  <w:style w:type="character" w:customStyle="1" w:styleId="94">
    <w:name w:val="标题 4 字符"/>
    <w:link w:val="5"/>
    <w:autoRedefine/>
    <w:qFormat/>
    <w:uiPriority w:val="0"/>
    <w:rPr>
      <w:rFonts w:ascii="Arial" w:hAnsi="Arial" w:eastAsia="黑体"/>
      <w:b/>
      <w:kern w:val="2"/>
      <w:sz w:val="28"/>
      <w:lang w:val="en-US" w:eastAsia="zh-CN" w:bidi="ar-SA"/>
    </w:rPr>
  </w:style>
  <w:style w:type="character" w:customStyle="1" w:styleId="95">
    <w:name w:val="特点 Char1"/>
    <w:autoRedefine/>
    <w:qFormat/>
    <w:uiPriority w:val="0"/>
    <w:rPr>
      <w:rFonts w:eastAsia="宋体"/>
      <w:kern w:val="2"/>
      <w:sz w:val="21"/>
      <w:lang w:val="en-US" w:eastAsia="zh-CN" w:bidi="ar-SA"/>
    </w:rPr>
  </w:style>
  <w:style w:type="character" w:customStyle="1" w:styleId="96">
    <w:name w:val="标题 5 字符"/>
    <w:link w:val="6"/>
    <w:autoRedefine/>
    <w:qFormat/>
    <w:uiPriority w:val="0"/>
    <w:rPr>
      <w:rFonts w:eastAsia="宋体"/>
      <w:b/>
      <w:bCs/>
      <w:kern w:val="2"/>
      <w:sz w:val="28"/>
      <w:szCs w:val="28"/>
      <w:lang w:val="en-US" w:eastAsia="zh-CN" w:bidi="ar-SA"/>
    </w:rPr>
  </w:style>
  <w:style w:type="character" w:customStyle="1" w:styleId="97">
    <w:name w:val="纯文本 字符"/>
    <w:link w:val="21"/>
    <w:autoRedefine/>
    <w:qFormat/>
    <w:uiPriority w:val="0"/>
    <w:rPr>
      <w:rFonts w:ascii="宋体" w:hAnsi="Courier New" w:eastAsia="宋体"/>
      <w:kern w:val="2"/>
      <w:sz w:val="21"/>
      <w:szCs w:val="21"/>
      <w:lang w:val="en-US" w:eastAsia="zh-CN" w:bidi="ar-SA"/>
    </w:rPr>
  </w:style>
  <w:style w:type="character" w:customStyle="1" w:styleId="98">
    <w:name w:val="小四 段落 宋体 Char Char Char1"/>
    <w:autoRedefine/>
    <w:qFormat/>
    <w:uiPriority w:val="0"/>
    <w:rPr>
      <w:rFonts w:ascii="宋体" w:hAnsi="宋体" w:eastAsia="宋体"/>
      <w:kern w:val="2"/>
      <w:sz w:val="24"/>
      <w:szCs w:val="24"/>
      <w:lang w:val="en-US" w:eastAsia="zh-CN" w:bidi="ar-SA"/>
    </w:rPr>
  </w:style>
  <w:style w:type="character" w:customStyle="1" w:styleId="99">
    <w:name w:val="Title1 Char"/>
    <w:autoRedefine/>
    <w:qFormat/>
    <w:uiPriority w:val="0"/>
    <w:rPr>
      <w:rFonts w:eastAsia="宋体"/>
      <w:b/>
      <w:bCs/>
      <w:kern w:val="44"/>
      <w:sz w:val="44"/>
      <w:szCs w:val="44"/>
      <w:lang w:val="en-US" w:eastAsia="zh-CN" w:bidi="ar-SA"/>
    </w:rPr>
  </w:style>
  <w:style w:type="character" w:customStyle="1" w:styleId="100">
    <w:name w:val="ih151"/>
    <w:autoRedefine/>
    <w:qFormat/>
    <w:uiPriority w:val="0"/>
    <w:rPr>
      <w:color w:val="666666"/>
      <w:sz w:val="18"/>
      <w:szCs w:val="18"/>
      <w:u w:val="none"/>
    </w:rPr>
  </w:style>
  <w:style w:type="character" w:customStyle="1" w:styleId="101">
    <w:name w:val="正文2 Char"/>
    <w:link w:val="102"/>
    <w:autoRedefine/>
    <w:qFormat/>
    <w:uiPriority w:val="0"/>
    <w:rPr>
      <w:kern w:val="2"/>
      <w:sz w:val="24"/>
    </w:rPr>
  </w:style>
  <w:style w:type="paragraph" w:customStyle="1" w:styleId="102">
    <w:name w:val="正文2"/>
    <w:basedOn w:val="1"/>
    <w:link w:val="101"/>
    <w:autoRedefine/>
    <w:qFormat/>
    <w:uiPriority w:val="0"/>
    <w:pPr>
      <w:spacing w:before="156" w:line="360" w:lineRule="auto"/>
      <w:ind w:firstLine="510" w:firstLineChars="200"/>
    </w:pPr>
    <w:rPr>
      <w:sz w:val="24"/>
      <w:szCs w:val="20"/>
    </w:rPr>
  </w:style>
  <w:style w:type="character" w:customStyle="1" w:styleId="103">
    <w:name w:val="1page sec3 Char1"/>
    <w:autoRedefine/>
    <w:qFormat/>
    <w:uiPriority w:val="0"/>
    <w:rPr>
      <w:kern w:val="2"/>
      <w:sz w:val="18"/>
      <w:szCs w:val="18"/>
    </w:rPr>
  </w:style>
  <w:style w:type="character" w:customStyle="1" w:styleId="104">
    <w:name w:val="apple-style-span"/>
    <w:basedOn w:val="44"/>
    <w:autoRedefine/>
    <w:qFormat/>
    <w:uiPriority w:val="0"/>
  </w:style>
  <w:style w:type="character" w:customStyle="1" w:styleId="105">
    <w:name w:val="批注框文本 字符"/>
    <w:link w:val="25"/>
    <w:autoRedefine/>
    <w:qFormat/>
    <w:uiPriority w:val="0"/>
    <w:rPr>
      <w:rFonts w:eastAsia="宋体"/>
      <w:kern w:val="2"/>
      <w:sz w:val="18"/>
      <w:szCs w:val="18"/>
      <w:lang w:val="en-US" w:eastAsia="zh-CN" w:bidi="ar-SA"/>
    </w:rPr>
  </w:style>
  <w:style w:type="character" w:customStyle="1" w:styleId="106">
    <w:name w:val="样式 首行缩进:  2 字符 Char Char"/>
    <w:link w:val="107"/>
    <w:autoRedefine/>
    <w:qFormat/>
    <w:uiPriority w:val="0"/>
    <w:rPr>
      <w:rFonts w:eastAsia="宋体" w:cs="宋体"/>
      <w:kern w:val="2"/>
      <w:sz w:val="24"/>
      <w:lang w:val="en-US" w:eastAsia="zh-CN" w:bidi="ar-SA"/>
    </w:rPr>
  </w:style>
  <w:style w:type="paragraph" w:customStyle="1" w:styleId="107">
    <w:name w:val="样式 首行缩进:  2 字符"/>
    <w:basedOn w:val="1"/>
    <w:link w:val="106"/>
    <w:autoRedefine/>
    <w:qFormat/>
    <w:uiPriority w:val="0"/>
    <w:pPr>
      <w:spacing w:line="360" w:lineRule="auto"/>
      <w:ind w:firstLine="480" w:firstLineChars="200"/>
    </w:pPr>
    <w:rPr>
      <w:rFonts w:cs="宋体"/>
      <w:sz w:val="24"/>
      <w:szCs w:val="20"/>
    </w:rPr>
  </w:style>
  <w:style w:type="character" w:customStyle="1" w:styleId="108">
    <w:name w:val="sect1.2.3 Char1"/>
    <w:autoRedefine/>
    <w:qFormat/>
    <w:uiPriority w:val="0"/>
    <w:rPr>
      <w:rFonts w:eastAsia="宋体"/>
      <w:b/>
      <w:bCs/>
      <w:kern w:val="2"/>
      <w:sz w:val="32"/>
      <w:szCs w:val="32"/>
      <w:lang w:val="en-US" w:eastAsia="zh-CN" w:bidi="ar-SA"/>
    </w:rPr>
  </w:style>
  <w:style w:type="character" w:customStyle="1" w:styleId="109">
    <w:name w:val="引用 Char"/>
    <w:link w:val="110"/>
    <w:autoRedefine/>
    <w:qFormat/>
    <w:uiPriority w:val="0"/>
    <w:rPr>
      <w:rFonts w:ascii="Cambria" w:hAnsi="Cambria" w:eastAsia="宋体"/>
      <w:i/>
      <w:iCs/>
      <w:sz w:val="22"/>
      <w:szCs w:val="22"/>
      <w:lang w:val="en-US" w:eastAsia="en-US" w:bidi="en-US"/>
    </w:rPr>
  </w:style>
  <w:style w:type="paragraph" w:customStyle="1" w:styleId="110">
    <w:name w:val="引用1"/>
    <w:basedOn w:val="1"/>
    <w:next w:val="1"/>
    <w:link w:val="109"/>
    <w:autoRedefine/>
    <w:qFormat/>
    <w:uiPriority w:val="0"/>
    <w:pPr>
      <w:widowControl/>
      <w:spacing w:after="200" w:line="251" w:lineRule="auto"/>
      <w:jc w:val="left"/>
    </w:pPr>
    <w:rPr>
      <w:rFonts w:ascii="Cambria" w:hAnsi="Cambria"/>
      <w:i/>
      <w:iCs/>
      <w:kern w:val="0"/>
      <w:sz w:val="22"/>
      <w:szCs w:val="22"/>
      <w:lang w:eastAsia="en-US" w:bidi="en-US"/>
    </w:rPr>
  </w:style>
  <w:style w:type="character" w:customStyle="1" w:styleId="111">
    <w:name w:val="小四 段落 宋体 Char Char Char Char Char Char Char Char"/>
    <w:autoRedefine/>
    <w:qFormat/>
    <w:uiPriority w:val="0"/>
    <w:rPr>
      <w:rFonts w:eastAsia="宋体"/>
      <w:kern w:val="2"/>
      <w:sz w:val="24"/>
      <w:szCs w:val="24"/>
      <w:lang w:val="en-US" w:eastAsia="zh-CN" w:bidi="ar-SA"/>
    </w:rPr>
  </w:style>
  <w:style w:type="character" w:customStyle="1" w:styleId="112">
    <w:name w:val="标题 3 字符"/>
    <w:link w:val="4"/>
    <w:autoRedefine/>
    <w:qFormat/>
    <w:uiPriority w:val="0"/>
    <w:rPr>
      <w:rFonts w:eastAsia="宋体"/>
      <w:b/>
      <w:bCs/>
      <w:kern w:val="2"/>
      <w:sz w:val="32"/>
      <w:szCs w:val="32"/>
      <w:lang w:val="en-US" w:eastAsia="zh-CN" w:bidi="ar-SA"/>
    </w:rPr>
  </w:style>
  <w:style w:type="character" w:customStyle="1" w:styleId="113">
    <w:name w:val="标题 3 Char1"/>
    <w:autoRedefine/>
    <w:qFormat/>
    <w:uiPriority w:val="0"/>
    <w:rPr>
      <w:rFonts w:eastAsia="宋体"/>
      <w:b/>
      <w:bCs/>
      <w:kern w:val="2"/>
      <w:sz w:val="32"/>
      <w:szCs w:val="32"/>
      <w:lang w:val="en-US" w:eastAsia="zh-CN" w:bidi="ar-SA"/>
    </w:rPr>
  </w:style>
  <w:style w:type="character" w:customStyle="1" w:styleId="114">
    <w:name w:val="批注文字 字符1"/>
    <w:link w:val="15"/>
    <w:autoRedefine/>
    <w:qFormat/>
    <w:uiPriority w:val="99"/>
    <w:rPr>
      <w:rFonts w:eastAsia="宋体"/>
      <w:kern w:val="2"/>
      <w:sz w:val="21"/>
      <w:lang w:val="en-US" w:eastAsia="zh-CN" w:bidi="ar-SA"/>
    </w:rPr>
  </w:style>
  <w:style w:type="character" w:customStyle="1" w:styleId="115">
    <w:name w:val="标准小四 Char Char"/>
    <w:autoRedefine/>
    <w:qFormat/>
    <w:uiPriority w:val="0"/>
    <w:rPr>
      <w:rFonts w:ascii="Arial" w:hAnsi="Arial" w:eastAsia="宋体"/>
      <w:kern w:val="2"/>
      <w:sz w:val="24"/>
      <w:szCs w:val="21"/>
      <w:lang w:val="en-US" w:eastAsia="zh-CN" w:bidi="ar-SA"/>
    </w:rPr>
  </w:style>
  <w:style w:type="character" w:customStyle="1" w:styleId="116">
    <w:name w:val="1page sec3 Char2"/>
    <w:autoRedefine/>
    <w:qFormat/>
    <w:uiPriority w:val="0"/>
    <w:rPr>
      <w:rFonts w:eastAsia="宋体"/>
      <w:kern w:val="2"/>
      <w:sz w:val="18"/>
      <w:szCs w:val="18"/>
      <w:lang w:val="en-US" w:eastAsia="zh-CN" w:bidi="ar-SA"/>
    </w:rPr>
  </w:style>
  <w:style w:type="character" w:customStyle="1" w:styleId="117">
    <w:name w:val="正文 + 宋体 Char"/>
    <w:autoRedefine/>
    <w:qFormat/>
    <w:uiPriority w:val="0"/>
    <w:rPr>
      <w:rFonts w:eastAsia="宋体"/>
      <w:kern w:val="2"/>
      <w:sz w:val="21"/>
      <w:szCs w:val="24"/>
      <w:lang w:val="en-US" w:eastAsia="zh-CN" w:bidi="ar-SA"/>
    </w:rPr>
  </w:style>
  <w:style w:type="character" w:customStyle="1" w:styleId="118">
    <w:name w:val="Char Char2"/>
    <w:autoRedefine/>
    <w:qFormat/>
    <w:uiPriority w:val="0"/>
    <w:rPr>
      <w:rFonts w:ascii="宋体" w:hAnsi="Courier New" w:eastAsia="宋体"/>
      <w:kern w:val="2"/>
      <w:sz w:val="21"/>
      <w:szCs w:val="21"/>
      <w:lang w:val="en-US" w:eastAsia="zh-CN" w:bidi="ar-SA"/>
    </w:rPr>
  </w:style>
  <w:style w:type="character" w:customStyle="1" w:styleId="119">
    <w:name w:val="2nd level Char"/>
    <w:autoRedefine/>
    <w:qFormat/>
    <w:uiPriority w:val="0"/>
    <w:rPr>
      <w:rFonts w:ascii="Arial" w:hAnsi="Arial" w:eastAsia="黑体"/>
      <w:b/>
      <w:bCs/>
      <w:kern w:val="2"/>
      <w:sz w:val="32"/>
      <w:szCs w:val="32"/>
      <w:lang w:val="en-US" w:eastAsia="zh-CN" w:bidi="ar-SA"/>
    </w:rPr>
  </w:style>
  <w:style w:type="character" w:customStyle="1" w:styleId="120">
    <w:name w:val="标题 6 字符"/>
    <w:link w:val="7"/>
    <w:autoRedefine/>
    <w:qFormat/>
    <w:uiPriority w:val="0"/>
    <w:rPr>
      <w:rFonts w:ascii="Arial" w:hAnsi="Arial" w:eastAsia="黑体"/>
      <w:b/>
      <w:bCs/>
      <w:kern w:val="2"/>
      <w:sz w:val="24"/>
      <w:szCs w:val="24"/>
      <w:lang w:val="en-US" w:eastAsia="zh-CN" w:bidi="ar-SA"/>
    </w:rPr>
  </w:style>
  <w:style w:type="character" w:customStyle="1" w:styleId="121">
    <w:name w:val="H2 Char1"/>
    <w:autoRedefine/>
    <w:qFormat/>
    <w:uiPriority w:val="0"/>
    <w:rPr>
      <w:rFonts w:ascii="Arial" w:hAnsi="Arial" w:eastAsia="黑体"/>
      <w:b/>
      <w:bCs/>
      <w:kern w:val="2"/>
      <w:sz w:val="32"/>
      <w:szCs w:val="32"/>
      <w:lang w:val="en-US" w:eastAsia="zh-CN" w:bidi="ar-SA"/>
    </w:rPr>
  </w:style>
  <w:style w:type="character" w:customStyle="1" w:styleId="122">
    <w:name w:val="style131"/>
    <w:autoRedefine/>
    <w:qFormat/>
    <w:uiPriority w:val="0"/>
    <w:rPr>
      <w:rFonts w:cs="Times New Roman"/>
      <w:sz w:val="18"/>
      <w:szCs w:val="18"/>
    </w:rPr>
  </w:style>
  <w:style w:type="paragraph" w:customStyle="1" w:styleId="123">
    <w:name w:val="a0"/>
    <w:basedOn w:val="1"/>
    <w:autoRedefine/>
    <w:qFormat/>
    <w:uiPriority w:val="0"/>
    <w:pPr>
      <w:widowControl/>
      <w:spacing w:before="100" w:beforeAutospacing="1" w:after="100" w:afterAutospacing="1"/>
    </w:pPr>
    <w:rPr>
      <w:rFonts w:ascii="宋体" w:hAnsi="宋体" w:cs="宋体"/>
      <w:kern w:val="0"/>
      <w:sz w:val="24"/>
    </w:rPr>
  </w:style>
  <w:style w:type="paragraph" w:customStyle="1" w:styleId="124">
    <w:name w:val="样式 样式 首行缩进:  0.74 厘米 行距: 1.5 倍行距 + 段后: 0.5 行"/>
    <w:basedOn w:val="1"/>
    <w:autoRedefine/>
    <w:qFormat/>
    <w:uiPriority w:val="0"/>
    <w:pPr>
      <w:spacing w:line="360" w:lineRule="auto"/>
      <w:ind w:firstLine="420"/>
    </w:pPr>
    <w:rPr>
      <w:rFonts w:ascii="楷体_GB2312" w:eastAsia="楷体_GB2312"/>
      <w:bCs/>
      <w:sz w:val="24"/>
      <w:szCs w:val="20"/>
    </w:rPr>
  </w:style>
  <w:style w:type="paragraph" w:customStyle="1" w:styleId="125">
    <w:name w:val="样式 标题 2第一章 标题 2Heading 2 HiddenHeading 2 CCBSheading 2H2h2..."/>
    <w:basedOn w:val="3"/>
    <w:autoRedefine/>
    <w:qFormat/>
    <w:uiPriority w:val="0"/>
    <w:pPr>
      <w:keepLines w:val="0"/>
      <w:tabs>
        <w:tab w:val="left" w:pos="360"/>
      </w:tabs>
      <w:adjustRightInd w:val="0"/>
      <w:spacing w:beforeLines="50" w:afterLines="50" w:line="240" w:lineRule="auto"/>
      <w:ind w:left="360" w:hanging="360"/>
      <w:jc w:val="center"/>
      <w:textAlignment w:val="baseline"/>
    </w:pPr>
    <w:rPr>
      <w:rFonts w:ascii="黑体" w:hAnsi="Times New Roman" w:cs="宋体"/>
      <w:b w:val="0"/>
      <w:bCs w:val="0"/>
      <w:kern w:val="0"/>
      <w:szCs w:val="20"/>
    </w:rPr>
  </w:style>
  <w:style w:type="paragraph" w:customStyle="1" w:styleId="126">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rPr>
  </w:style>
  <w:style w:type="paragraph" w:customStyle="1" w:styleId="127">
    <w:name w:val="目录标题"/>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28">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129">
    <w:name w:val="a"/>
    <w:basedOn w:val="1"/>
    <w:autoRedefine/>
    <w:qFormat/>
    <w:uiPriority w:val="0"/>
    <w:pPr>
      <w:widowControl/>
      <w:spacing w:before="100" w:beforeAutospacing="1" w:after="100" w:afterAutospacing="1"/>
    </w:pPr>
    <w:rPr>
      <w:rFonts w:ascii="宋体" w:hAnsi="宋体" w:cs="宋体"/>
      <w:kern w:val="0"/>
      <w:sz w:val="24"/>
    </w:rPr>
  </w:style>
  <w:style w:type="paragraph" w:customStyle="1" w:styleId="130">
    <w:name w:val="公文正文"/>
    <w:basedOn w:val="19"/>
    <w:autoRedefine/>
    <w:qFormat/>
    <w:uiPriority w:val="0"/>
    <w:pPr>
      <w:spacing w:after="0"/>
      <w:ind w:left="0" w:leftChars="0" w:firstLine="200" w:firstLineChars="200"/>
    </w:pPr>
    <w:rPr>
      <w:rFonts w:ascii="仿宋_GB2312" w:hAnsi="宋体" w:eastAsia="仿宋_GB2312"/>
      <w:kern w:val="28"/>
      <w:sz w:val="28"/>
    </w:rPr>
  </w:style>
  <w:style w:type="paragraph" w:customStyle="1" w:styleId="131">
    <w:name w:val="xl28"/>
    <w:basedOn w:val="1"/>
    <w:autoRedefine/>
    <w:qFormat/>
    <w:uiPriority w:val="0"/>
    <w:pPr>
      <w:widowControl/>
      <w:pBdr>
        <w:left w:val="single" w:color="auto" w:sz="4" w:space="0"/>
        <w:bottom w:val="single" w:color="auto" w:sz="4" w:space="0"/>
      </w:pBdr>
      <w:spacing w:before="100" w:beforeAutospacing="1" w:after="100" w:afterAutospacing="1"/>
      <w:jc w:val="center"/>
    </w:pPr>
    <w:rPr>
      <w:rFonts w:ascii="宋体" w:hAnsi="宋体"/>
      <w:kern w:val="0"/>
      <w:sz w:val="24"/>
      <w:szCs w:val="20"/>
    </w:rPr>
  </w:style>
  <w:style w:type="paragraph" w:customStyle="1" w:styleId="132">
    <w:name w:val="正文文本 21"/>
    <w:basedOn w:val="1"/>
    <w:autoRedefine/>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133">
    <w:name w:val="样式 加点正文 + 段前: 0.5 行 段后: 0.5 行1"/>
    <w:basedOn w:val="1"/>
    <w:autoRedefine/>
    <w:qFormat/>
    <w:uiPriority w:val="0"/>
    <w:pPr>
      <w:tabs>
        <w:tab w:val="left" w:pos="1268"/>
      </w:tabs>
      <w:spacing w:beforeLines="50" w:afterLines="50" w:line="300" w:lineRule="auto"/>
      <w:ind w:left="1268" w:hanging="420"/>
    </w:pPr>
    <w:rPr>
      <w:sz w:val="24"/>
      <w:szCs w:val="20"/>
    </w:rPr>
  </w:style>
  <w:style w:type="paragraph" w:customStyle="1" w:styleId="134">
    <w:name w:val="xl45"/>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135">
    <w:name w:val="Char Char Char Char Char Char Char Char Char Char Char Char Char Char Char Char Char Char Char Char Char Char Char"/>
    <w:basedOn w:val="1"/>
    <w:autoRedefine/>
    <w:qFormat/>
    <w:uiPriority w:val="0"/>
    <w:rPr>
      <w:rFonts w:ascii="Tahoma" w:hAnsi="Tahoma"/>
      <w:sz w:val="24"/>
      <w:szCs w:val="20"/>
    </w:rPr>
  </w:style>
  <w:style w:type="paragraph" w:customStyle="1" w:styleId="136">
    <w:name w:val="Char1 Char Char Char"/>
    <w:basedOn w:val="1"/>
    <w:autoRedefine/>
    <w:qFormat/>
    <w:uiPriority w:val="0"/>
    <w:rPr>
      <w:rFonts w:ascii="Tahoma" w:hAnsi="Tahoma"/>
      <w:sz w:val="24"/>
      <w:szCs w:val="20"/>
    </w:rPr>
  </w:style>
  <w:style w:type="paragraph" w:customStyle="1" w:styleId="137">
    <w:name w:val="标题 4宋体"/>
    <w:basedOn w:val="5"/>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138">
    <w:name w:val="Char Char1"/>
    <w:basedOn w:val="1"/>
    <w:autoRedefine/>
    <w:qFormat/>
    <w:uiPriority w:val="0"/>
    <w:pPr>
      <w:widowControl/>
      <w:spacing w:after="160" w:line="240" w:lineRule="exact"/>
      <w:jc w:val="left"/>
    </w:pPr>
    <w:rPr>
      <w:rFonts w:eastAsia="仿宋_GB2312"/>
      <w:sz w:val="28"/>
    </w:rPr>
  </w:style>
  <w:style w:type="paragraph" w:customStyle="1" w:styleId="139">
    <w:name w:val="表格内容"/>
    <w:basedOn w:val="1"/>
    <w:autoRedefine/>
    <w:qFormat/>
    <w:uiPriority w:val="0"/>
    <w:pPr>
      <w:widowControl/>
      <w:autoSpaceDE w:val="0"/>
      <w:autoSpaceDN w:val="0"/>
      <w:adjustRightInd w:val="0"/>
      <w:spacing w:before="60" w:line="300" w:lineRule="auto"/>
      <w:jc w:val="center"/>
      <w:textAlignment w:val="bottom"/>
    </w:pPr>
    <w:rPr>
      <w:kern w:val="0"/>
      <w:szCs w:val="20"/>
    </w:rPr>
  </w:style>
  <w:style w:type="paragraph" w:customStyle="1" w:styleId="140">
    <w:name w:val="xl4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w:hAnsi="Arial" w:cs="Arial"/>
      <w:kern w:val="0"/>
      <w:sz w:val="20"/>
      <w:szCs w:val="20"/>
    </w:rPr>
  </w:style>
  <w:style w:type="paragraph" w:customStyle="1" w:styleId="141">
    <w:name w:val="丁华标题2"/>
    <w:basedOn w:val="3"/>
    <w:next w:val="142"/>
    <w:autoRedefine/>
    <w:qFormat/>
    <w:uiPriority w:val="0"/>
    <w:pPr>
      <w:tabs>
        <w:tab w:val="left" w:pos="567"/>
      </w:tabs>
      <w:autoSpaceDE w:val="0"/>
      <w:autoSpaceDN w:val="0"/>
      <w:adjustRightInd w:val="0"/>
      <w:spacing w:before="120" w:after="120"/>
      <w:ind w:left="567" w:hanging="567"/>
      <w:jc w:val="left"/>
    </w:pPr>
    <w:rPr>
      <w:color w:val="000000"/>
      <w:sz w:val="28"/>
      <w:szCs w:val="20"/>
    </w:rPr>
  </w:style>
  <w:style w:type="paragraph" w:customStyle="1" w:styleId="142">
    <w:name w:val="丁华正文"/>
    <w:basedOn w:val="34"/>
    <w:autoRedefine/>
    <w:qFormat/>
    <w:uiPriority w:val="0"/>
    <w:pPr>
      <w:autoSpaceDE w:val="0"/>
      <w:autoSpaceDN w:val="0"/>
      <w:adjustRightInd w:val="0"/>
      <w:snapToGrid w:val="0"/>
      <w:spacing w:before="0" w:after="0" w:line="360" w:lineRule="auto"/>
      <w:ind w:left="0" w:firstLine="510"/>
    </w:pPr>
    <w:rPr>
      <w:rFonts w:ascii="宋体" w:hAnsi="Arial"/>
      <w:bCs w:val="0"/>
      <w:color w:val="000000"/>
      <w:szCs w:val="16"/>
    </w:rPr>
  </w:style>
  <w:style w:type="paragraph" w:customStyle="1" w:styleId="143">
    <w:name w:val="标准小四"/>
    <w:basedOn w:val="1"/>
    <w:autoRedefine/>
    <w:qFormat/>
    <w:uiPriority w:val="0"/>
    <w:pPr>
      <w:spacing w:line="360" w:lineRule="auto"/>
      <w:ind w:firstLine="480" w:firstLineChars="200"/>
    </w:pPr>
    <w:rPr>
      <w:rFonts w:ascii="Arial" w:hAnsi="Arial"/>
      <w:sz w:val="24"/>
      <w:szCs w:val="21"/>
    </w:rPr>
  </w:style>
  <w:style w:type="paragraph" w:customStyle="1" w:styleId="144">
    <w:name w:val="Char Char Char Char Char"/>
    <w:basedOn w:val="1"/>
    <w:autoRedefine/>
    <w:qFormat/>
    <w:uiPriority w:val="0"/>
    <w:rPr>
      <w:rFonts w:ascii="Tahoma" w:hAnsi="Tahoma"/>
      <w:sz w:val="24"/>
      <w:szCs w:val="20"/>
    </w:rPr>
  </w:style>
  <w:style w:type="paragraph" w:customStyle="1" w:styleId="145">
    <w:name w:val="正文_0_0"/>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6">
    <w:name w:val="Char Char Char Char Char Char Char Char Char Char Char Char Char Char Char Char Char Char Char Char Char"/>
    <w:basedOn w:val="1"/>
    <w:autoRedefine/>
    <w:qFormat/>
    <w:uiPriority w:val="0"/>
    <w:rPr>
      <w:rFonts w:ascii="Tahoma" w:hAnsi="Tahoma"/>
      <w:sz w:val="24"/>
      <w:szCs w:val="20"/>
    </w:rPr>
  </w:style>
  <w:style w:type="paragraph" w:customStyle="1" w:styleId="147">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148">
    <w:name w:val="标准文本"/>
    <w:basedOn w:val="1"/>
    <w:autoRedefine/>
    <w:qFormat/>
    <w:uiPriority w:val="0"/>
    <w:pPr>
      <w:spacing w:line="360" w:lineRule="auto"/>
      <w:ind w:firstLine="480" w:firstLineChars="200"/>
    </w:pPr>
    <w:rPr>
      <w:rFonts w:cs="宋体"/>
      <w:sz w:val="24"/>
    </w:rPr>
  </w:style>
  <w:style w:type="paragraph" w:customStyle="1" w:styleId="149">
    <w:name w:val="Char1"/>
    <w:basedOn w:val="1"/>
    <w:autoRedefine/>
    <w:qFormat/>
    <w:uiPriority w:val="0"/>
    <w:rPr>
      <w:rFonts w:ascii="仿宋_GB2312" w:eastAsia="仿宋_GB2312"/>
      <w:b/>
      <w:sz w:val="32"/>
      <w:szCs w:val="32"/>
    </w:rPr>
  </w:style>
  <w:style w:type="paragraph" w:customStyle="1" w:styleId="150">
    <w:name w:val="font7"/>
    <w:basedOn w:val="1"/>
    <w:autoRedefine/>
    <w:qFormat/>
    <w:uiPriority w:val="0"/>
    <w:pPr>
      <w:widowControl/>
      <w:spacing w:before="100" w:beforeAutospacing="1" w:after="100" w:afterAutospacing="1"/>
      <w:jc w:val="left"/>
    </w:pPr>
    <w:rPr>
      <w:rFonts w:hint="eastAsia" w:ascii="宋体" w:hAnsi="宋体"/>
      <w:b/>
      <w:bCs/>
      <w:kern w:val="0"/>
      <w:sz w:val="24"/>
    </w:rPr>
  </w:style>
  <w:style w:type="paragraph" w:customStyle="1" w:styleId="151">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szCs w:val="20"/>
    </w:rPr>
  </w:style>
  <w:style w:type="paragraph" w:customStyle="1" w:styleId="152">
    <w:name w:val="表蕊"/>
    <w:basedOn w:val="1"/>
    <w:autoRedefine/>
    <w:qFormat/>
    <w:uiPriority w:val="0"/>
    <w:pPr>
      <w:adjustRightInd w:val="0"/>
      <w:spacing w:line="320" w:lineRule="atLeast"/>
      <w:jc w:val="left"/>
      <w:textAlignment w:val="baseline"/>
    </w:pPr>
    <w:rPr>
      <w:rFonts w:eastAsia="楷体_GB2312"/>
      <w:spacing w:val="-10"/>
      <w:kern w:val="0"/>
      <w:szCs w:val="20"/>
    </w:rPr>
  </w:style>
  <w:style w:type="paragraph" w:customStyle="1" w:styleId="153">
    <w:name w:val="插图"/>
    <w:basedOn w:val="1"/>
    <w:autoRedefine/>
    <w:qFormat/>
    <w:uiPriority w:val="0"/>
    <w:pPr>
      <w:tabs>
        <w:tab w:val="left" w:pos="1620"/>
      </w:tabs>
      <w:adjustRightInd w:val="0"/>
      <w:jc w:val="center"/>
    </w:pPr>
    <w:rPr>
      <w:bCs/>
      <w:color w:val="000000"/>
      <w:szCs w:val="22"/>
    </w:rPr>
  </w:style>
  <w:style w:type="paragraph" w:customStyle="1" w:styleId="154">
    <w:name w:val="二级条标题"/>
    <w:basedOn w:val="1"/>
    <w:next w:val="155"/>
    <w:autoRedefine/>
    <w:qFormat/>
    <w:uiPriority w:val="0"/>
    <w:pPr>
      <w:widowControl/>
      <w:tabs>
        <w:tab w:val="left" w:pos="2240"/>
      </w:tabs>
      <w:ind w:hanging="420"/>
      <w:outlineLvl w:val="3"/>
    </w:pPr>
    <w:rPr>
      <w:rFonts w:eastAsia="黑体"/>
      <w:kern w:val="0"/>
      <w:szCs w:val="20"/>
    </w:rPr>
  </w:style>
  <w:style w:type="paragraph" w:customStyle="1" w:styleId="155">
    <w:name w:val="段"/>
    <w:autoRedefine/>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56">
    <w:name w:val="符号与编号"/>
    <w:basedOn w:val="1"/>
    <w:autoRedefine/>
    <w:qFormat/>
    <w:uiPriority w:val="0"/>
    <w:pPr>
      <w:tabs>
        <w:tab w:val="left" w:pos="900"/>
      </w:tabs>
      <w:spacing w:afterLines="50" w:line="400" w:lineRule="atLeast"/>
      <w:ind w:left="900" w:hanging="420"/>
    </w:pPr>
    <w:rPr>
      <w:sz w:val="24"/>
    </w:rPr>
  </w:style>
  <w:style w:type="paragraph" w:customStyle="1" w:styleId="157">
    <w:name w:val="Char Char Char Char Char Char Char Char Char1"/>
    <w:basedOn w:val="1"/>
    <w:autoRedefine/>
    <w:qFormat/>
    <w:uiPriority w:val="0"/>
    <w:pPr>
      <w:tabs>
        <w:tab w:val="left" w:pos="360"/>
      </w:tabs>
      <w:ind w:left="360" w:hanging="360" w:hangingChars="200"/>
    </w:pPr>
    <w:rPr>
      <w:sz w:val="24"/>
    </w:rPr>
  </w:style>
  <w:style w:type="paragraph" w:customStyle="1" w:styleId="158">
    <w:name w:val="xl3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59">
    <w:name w:val="Char Char Char Char Char Char Char Char Char Char Char1 Char Char Char1"/>
    <w:basedOn w:val="1"/>
    <w:autoRedefine/>
    <w:qFormat/>
    <w:uiPriority w:val="0"/>
    <w:pPr>
      <w:ind w:firstLine="200" w:firstLineChars="200"/>
      <w:jc w:val="left"/>
    </w:pPr>
    <w:rPr>
      <w:rFonts w:ascii="Tahoma" w:hAnsi="Tahoma"/>
      <w:sz w:val="24"/>
    </w:rPr>
  </w:style>
  <w:style w:type="paragraph" w:customStyle="1" w:styleId="160">
    <w:name w:val="样式2"/>
    <w:basedOn w:val="1"/>
    <w:autoRedefine/>
    <w:qFormat/>
    <w:uiPriority w:val="0"/>
    <w:pPr>
      <w:spacing w:line="360" w:lineRule="auto"/>
      <w:ind w:left="200" w:leftChars="200"/>
    </w:pPr>
    <w:rPr>
      <w:rFonts w:ascii="宋体" w:hAnsi="宋体"/>
      <w:b/>
      <w:sz w:val="24"/>
    </w:rPr>
  </w:style>
  <w:style w:type="paragraph" w:customStyle="1" w:styleId="161">
    <w:name w:val="标题1，章节第一层"/>
    <w:basedOn w:val="162"/>
    <w:next w:val="162"/>
    <w:autoRedefine/>
    <w:qFormat/>
    <w:uiPriority w:val="0"/>
    <w:pPr>
      <w:tabs>
        <w:tab w:val="left" w:pos="693"/>
      </w:tabs>
      <w:ind w:left="482"/>
      <w:outlineLvl w:val="0"/>
    </w:pPr>
    <w:rPr>
      <w:color w:val="000000"/>
      <w:sz w:val="24"/>
      <w:szCs w:val="24"/>
    </w:rPr>
  </w:style>
  <w:style w:type="paragraph" w:customStyle="1" w:styleId="162">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163">
    <w:name w:val="章标题"/>
    <w:next w:val="155"/>
    <w:autoRedefine/>
    <w:qFormat/>
    <w:uiPriority w:val="0"/>
    <w:pPr>
      <w:spacing w:beforeLines="50" w:afterLines="50"/>
      <w:jc w:val="both"/>
      <w:outlineLvl w:val="1"/>
    </w:pPr>
    <w:rPr>
      <w:rFonts w:ascii="Calibri" w:hAnsi="Calibri" w:eastAsia="黑体" w:cs="Times New Roman"/>
      <w:sz w:val="21"/>
      <w:lang w:val="en-US" w:eastAsia="zh-CN" w:bidi="ar-SA"/>
    </w:rPr>
  </w:style>
  <w:style w:type="paragraph" w:customStyle="1" w:styleId="164">
    <w:name w:val="宏图高科"/>
    <w:basedOn w:val="1"/>
    <w:autoRedefine/>
    <w:qFormat/>
    <w:uiPriority w:val="0"/>
    <w:pPr>
      <w:spacing w:line="360" w:lineRule="auto"/>
      <w:ind w:firstLine="480"/>
    </w:pPr>
    <w:rPr>
      <w:rFonts w:eastAsia="楷体_GB2312"/>
      <w:sz w:val="24"/>
      <w:szCs w:val="20"/>
    </w:rPr>
  </w:style>
  <w:style w:type="paragraph" w:customStyle="1" w:styleId="165">
    <w:name w:val="xl4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66">
    <w:name w:val="默认段落字体 Para Char"/>
    <w:basedOn w:val="1"/>
    <w:autoRedefine/>
    <w:qFormat/>
    <w:uiPriority w:val="0"/>
    <w:pPr>
      <w:adjustRightInd w:val="0"/>
      <w:spacing w:line="360" w:lineRule="auto"/>
    </w:pPr>
    <w:rPr>
      <w:kern w:val="0"/>
      <w:sz w:val="24"/>
    </w:rPr>
  </w:style>
  <w:style w:type="paragraph" w:customStyle="1" w:styleId="167">
    <w:name w:val="Char Char Char Char Char Char Char Char Char Char Char"/>
    <w:basedOn w:val="1"/>
    <w:autoRedefine/>
    <w:qFormat/>
    <w:uiPriority w:val="0"/>
    <w:rPr>
      <w:rFonts w:ascii="Tahoma" w:hAnsi="Tahoma"/>
      <w:sz w:val="24"/>
      <w:szCs w:val="20"/>
    </w:rPr>
  </w:style>
  <w:style w:type="paragraph" w:customStyle="1" w:styleId="168">
    <w:name w:val="样式 标题 3H32nd Subheadl3CTh3Level 3 Headlevel_3PIM 3Headi...2"/>
    <w:basedOn w:val="4"/>
    <w:autoRedefine/>
    <w:qFormat/>
    <w:uiPriority w:val="0"/>
    <w:pPr>
      <w:tabs>
        <w:tab w:val="left" w:pos="709"/>
      </w:tabs>
      <w:adjustRightInd w:val="0"/>
      <w:spacing w:after="120" w:line="360" w:lineRule="auto"/>
      <w:ind w:left="709" w:hanging="709"/>
      <w:jc w:val="left"/>
      <w:textAlignment w:val="baseline"/>
    </w:pPr>
    <w:rPr>
      <w:rFonts w:cs="宋体"/>
      <w:kern w:val="0"/>
      <w:sz w:val="30"/>
      <w:szCs w:val="20"/>
    </w:rPr>
  </w:style>
  <w:style w:type="paragraph" w:customStyle="1" w:styleId="169">
    <w:name w:val="样式4 Char"/>
    <w:basedOn w:val="1"/>
    <w:autoRedefine/>
    <w:qFormat/>
    <w:uiPriority w:val="0"/>
    <w:pPr>
      <w:widowControl/>
      <w:spacing w:line="360" w:lineRule="auto"/>
      <w:ind w:firstLine="480"/>
      <w:jc w:val="left"/>
    </w:pPr>
    <w:rPr>
      <w:rFonts w:cs="宋体"/>
      <w:color w:val="000000"/>
      <w:kern w:val="0"/>
      <w:sz w:val="24"/>
    </w:rPr>
  </w:style>
  <w:style w:type="paragraph" w:customStyle="1" w:styleId="170">
    <w:name w:val="项目符号，二级"/>
    <w:basedOn w:val="162"/>
    <w:next w:val="162"/>
    <w:autoRedefine/>
    <w:qFormat/>
    <w:uiPriority w:val="0"/>
    <w:pPr>
      <w:tabs>
        <w:tab w:val="left" w:pos="1211"/>
        <w:tab w:val="left" w:pos="1337"/>
      </w:tabs>
      <w:ind w:left="1337" w:right="-27" w:firstLine="480"/>
    </w:pPr>
    <w:rPr>
      <w:bCs w:val="0"/>
      <w:color w:val="000000"/>
      <w:sz w:val="24"/>
      <w:szCs w:val="24"/>
    </w:rPr>
  </w:style>
  <w:style w:type="paragraph" w:customStyle="1" w:styleId="171">
    <w:name w:val="样式1"/>
    <w:basedOn w:val="1"/>
    <w:autoRedefine/>
    <w:qFormat/>
    <w:uiPriority w:val="0"/>
    <w:pPr>
      <w:spacing w:line="300" w:lineRule="auto"/>
      <w:ind w:firstLine="480" w:firstLineChars="200"/>
    </w:pPr>
    <w:rPr>
      <w:sz w:val="24"/>
    </w:rPr>
  </w:style>
  <w:style w:type="paragraph" w:customStyle="1" w:styleId="172">
    <w:name w:val="正文文本 New New"/>
    <w:basedOn w:val="1"/>
    <w:autoRedefine/>
    <w:qFormat/>
    <w:uiPriority w:val="0"/>
    <w:pPr>
      <w:widowControl/>
      <w:spacing w:before="60" w:after="60" w:line="360" w:lineRule="auto"/>
      <w:ind w:firstLine="200" w:firstLineChars="200"/>
    </w:pPr>
    <w:rPr>
      <w:rFonts w:eastAsia="华文楷体"/>
      <w:sz w:val="24"/>
    </w:rPr>
  </w:style>
  <w:style w:type="paragraph" w:customStyle="1" w:styleId="173">
    <w:name w:val="正文1"/>
    <w:basedOn w:val="1"/>
    <w:next w:val="1"/>
    <w:autoRedefine/>
    <w:qFormat/>
    <w:uiPriority w:val="0"/>
    <w:pPr>
      <w:spacing w:before="156" w:line="360" w:lineRule="auto"/>
      <w:ind w:firstLine="510" w:firstLineChars="200"/>
    </w:pPr>
    <w:rPr>
      <w:sz w:val="24"/>
      <w:szCs w:val="20"/>
    </w:rPr>
  </w:style>
  <w:style w:type="paragraph" w:customStyle="1" w:styleId="174">
    <w:name w:val="Char Char1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75">
    <w:name w:val="大标题"/>
    <w:basedOn w:val="1"/>
    <w:next w:val="1"/>
    <w:autoRedefine/>
    <w:qFormat/>
    <w:uiPriority w:val="0"/>
    <w:pPr>
      <w:pageBreakBefore/>
      <w:tabs>
        <w:tab w:val="left" w:pos="420"/>
      </w:tabs>
      <w:spacing w:line="360" w:lineRule="auto"/>
      <w:ind w:hanging="420" w:firstLineChars="200"/>
      <w:outlineLvl w:val="0"/>
    </w:pPr>
    <w:rPr>
      <w:b/>
      <w:iCs/>
      <w:sz w:val="44"/>
    </w:rPr>
  </w:style>
  <w:style w:type="paragraph" w:customStyle="1" w:styleId="176">
    <w:name w:val="方案文档"/>
    <w:basedOn w:val="1"/>
    <w:autoRedefine/>
    <w:qFormat/>
    <w:uiPriority w:val="0"/>
    <w:pPr>
      <w:spacing w:before="60" w:after="60" w:line="360" w:lineRule="auto"/>
      <w:ind w:firstLine="225" w:firstLineChars="225"/>
    </w:pPr>
    <w:rPr>
      <w:rFonts w:ascii="宋体"/>
      <w:color w:val="000000"/>
      <w:kern w:val="0"/>
      <w:sz w:val="24"/>
      <w:szCs w:val="20"/>
    </w:rPr>
  </w:style>
  <w:style w:type="paragraph" w:customStyle="1" w:styleId="177">
    <w:name w:val="p0"/>
    <w:basedOn w:val="1"/>
    <w:autoRedefine/>
    <w:qFormat/>
    <w:uiPriority w:val="0"/>
    <w:pPr>
      <w:widowControl/>
    </w:pPr>
    <w:rPr>
      <w:kern w:val="0"/>
      <w:szCs w:val="21"/>
    </w:rPr>
  </w:style>
  <w:style w:type="paragraph" w:customStyle="1" w:styleId="17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9">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szCs w:val="20"/>
    </w:rPr>
  </w:style>
  <w:style w:type="paragraph" w:customStyle="1" w:styleId="180">
    <w:name w:val="Char Char Char1"/>
    <w:basedOn w:val="1"/>
    <w:autoRedefine/>
    <w:qFormat/>
    <w:uiPriority w:val="0"/>
    <w:rPr>
      <w:rFonts w:ascii="Tahoma" w:hAnsi="Tahoma"/>
      <w:sz w:val="24"/>
      <w:szCs w:val="20"/>
    </w:rPr>
  </w:style>
  <w:style w:type="paragraph" w:customStyle="1" w:styleId="181">
    <w:name w:val="标题2，章节第二层"/>
    <w:basedOn w:val="1"/>
    <w:next w:val="162"/>
    <w:autoRedefine/>
    <w:qFormat/>
    <w:uiPriority w:val="0"/>
    <w:pPr>
      <w:tabs>
        <w:tab w:val="left" w:pos="630"/>
        <w:tab w:val="left" w:pos="992"/>
      </w:tabs>
      <w:adjustRightInd w:val="0"/>
      <w:snapToGrid w:val="0"/>
      <w:spacing w:beforeLines="100" w:afterLines="100" w:line="300" w:lineRule="auto"/>
      <w:ind w:left="992" w:hanging="567"/>
      <w:outlineLvl w:val="1"/>
    </w:pPr>
    <w:rPr>
      <w:rFonts w:ascii="Arial" w:hAnsi="Arial" w:eastAsia="黑体"/>
      <w:sz w:val="32"/>
    </w:rPr>
  </w:style>
  <w:style w:type="paragraph" w:customStyle="1" w:styleId="182">
    <w:name w:val="项目符号：一级"/>
    <w:basedOn w:val="162"/>
    <w:next w:val="162"/>
    <w:autoRedefine/>
    <w:qFormat/>
    <w:uiPriority w:val="0"/>
    <w:pPr>
      <w:ind w:right="-134" w:rightChars="-64"/>
    </w:pPr>
    <w:rPr>
      <w:bCs w:val="0"/>
    </w:rPr>
  </w:style>
  <w:style w:type="paragraph" w:customStyle="1" w:styleId="183">
    <w:name w:val="af17cgridlangnp1033langf"/>
    <w:autoRedefine/>
    <w:qFormat/>
    <w:uiPriority w:val="0"/>
    <w:pPr>
      <w:widowControl w:val="0"/>
      <w:autoSpaceDE w:val="0"/>
      <w:autoSpaceDN w:val="0"/>
      <w:adjustRightInd w:val="0"/>
      <w:spacing w:before="156" w:line="360" w:lineRule="atLeast"/>
      <w:ind w:left="567" w:firstLine="510"/>
      <w:jc w:val="both"/>
    </w:pPr>
    <w:rPr>
      <w:rFonts w:ascii="Calibri" w:hAnsi="Calibri" w:eastAsia="宋体" w:cs="Times New Roman"/>
      <w:lang w:val="en-US" w:eastAsia="zh-CN" w:bidi="ar-SA"/>
    </w:rPr>
  </w:style>
  <w:style w:type="paragraph" w:customStyle="1" w:styleId="184">
    <w:name w:val="content_lineheight"/>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185">
    <w:name w:val="xl3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18"/>
      <w:szCs w:val="18"/>
    </w:rPr>
  </w:style>
  <w:style w:type="paragraph" w:customStyle="1" w:styleId="186">
    <w:name w:val="xl4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87">
    <w:name w:val="Char Char Char"/>
    <w:basedOn w:val="14"/>
    <w:autoRedefine/>
    <w:qFormat/>
    <w:uiPriority w:val="0"/>
    <w:pPr>
      <w:spacing w:line="436" w:lineRule="exact"/>
    </w:pPr>
  </w:style>
  <w:style w:type="paragraph" w:customStyle="1" w:styleId="188">
    <w:name w:val="xl35"/>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189">
    <w:name w:val="标题3，章节第三层"/>
    <w:basedOn w:val="1"/>
    <w:next w:val="162"/>
    <w:autoRedefine/>
    <w:qFormat/>
    <w:uiPriority w:val="0"/>
    <w:pPr>
      <w:adjustRightInd w:val="0"/>
      <w:snapToGrid w:val="0"/>
      <w:spacing w:before="78" w:line="300" w:lineRule="auto"/>
      <w:outlineLvl w:val="2"/>
    </w:pPr>
    <w:rPr>
      <w:rFonts w:ascii="Arial" w:hAnsi="Arial" w:eastAsia="华文细黑"/>
      <w:sz w:val="30"/>
    </w:rPr>
  </w:style>
  <w:style w:type="paragraph" w:customStyle="1" w:styleId="190">
    <w:name w:val="TOC 标题1"/>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91">
    <w:name w:val="retrait3"/>
    <w:basedOn w:val="1"/>
    <w:autoRedefine/>
    <w:qFormat/>
    <w:uiPriority w:val="0"/>
    <w:pPr>
      <w:widowControl/>
      <w:spacing w:before="20" w:after="20"/>
      <w:ind w:left="851"/>
      <w:jc w:val="left"/>
    </w:pPr>
    <w:rPr>
      <w:rFonts w:ascii="Arial" w:hAnsi="Arial"/>
      <w:kern w:val="0"/>
      <w:sz w:val="24"/>
      <w:szCs w:val="20"/>
      <w:lang w:val="en-GB"/>
    </w:rPr>
  </w:style>
  <w:style w:type="paragraph" w:customStyle="1" w:styleId="192">
    <w:name w:val="默认段落字体 Para Char Char Char Char Char Char Char"/>
    <w:basedOn w:val="1"/>
    <w:autoRedefine/>
    <w:qFormat/>
    <w:uiPriority w:val="0"/>
    <w:rPr>
      <w:rFonts w:ascii="Tahoma" w:hAnsi="Tahoma"/>
      <w:sz w:val="24"/>
      <w:szCs w:val="20"/>
    </w:rPr>
  </w:style>
  <w:style w:type="paragraph" w:customStyle="1" w:styleId="193">
    <w:name w:val="1"/>
    <w:basedOn w:val="1"/>
    <w:next w:val="36"/>
    <w:autoRedefine/>
    <w:qFormat/>
    <w:uiPriority w:val="0"/>
    <w:pPr>
      <w:spacing w:line="360" w:lineRule="auto"/>
    </w:pPr>
    <w:rPr>
      <w:rFonts w:eastAsia="仿宋_GB2312"/>
      <w:sz w:val="24"/>
    </w:rPr>
  </w:style>
  <w:style w:type="paragraph" w:customStyle="1" w:styleId="194">
    <w:name w:val="Char Char Char Char Char Char Char Char Char Char Char Char Char Char"/>
    <w:basedOn w:val="1"/>
    <w:autoRedefine/>
    <w:qFormat/>
    <w:uiPriority w:val="0"/>
    <w:rPr>
      <w:rFonts w:ascii="Tahoma" w:hAnsi="Tahoma"/>
      <w:sz w:val="24"/>
      <w:szCs w:val="20"/>
    </w:rPr>
  </w:style>
  <w:style w:type="paragraph" w:customStyle="1" w:styleId="195">
    <w:name w:val="Char Char11"/>
    <w:basedOn w:val="1"/>
    <w:autoRedefine/>
    <w:qFormat/>
    <w:uiPriority w:val="0"/>
    <w:rPr>
      <w:rFonts w:ascii="Tahoma" w:hAnsi="Tahoma"/>
      <w:sz w:val="24"/>
      <w:szCs w:val="20"/>
    </w:rPr>
  </w:style>
  <w:style w:type="paragraph" w:customStyle="1" w:styleId="196">
    <w:name w:val="xl4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97">
    <w:name w:val="正文表标题"/>
    <w:next w:val="155"/>
    <w:autoRedefine/>
    <w:qFormat/>
    <w:uiPriority w:val="0"/>
    <w:pPr>
      <w:tabs>
        <w:tab w:val="left" w:pos="900"/>
      </w:tabs>
      <w:ind w:left="900" w:hanging="420"/>
      <w:jc w:val="center"/>
    </w:pPr>
    <w:rPr>
      <w:rFonts w:ascii="黑体" w:hAnsi="Calibri" w:eastAsia="黑体" w:cs="Times New Roman"/>
      <w:sz w:val="21"/>
      <w:lang w:val="en-US" w:eastAsia="zh-CN" w:bidi="ar-SA"/>
    </w:rPr>
  </w:style>
  <w:style w:type="paragraph" w:customStyle="1" w:styleId="198">
    <w:name w:val="样式 样式 首行缩进:  2 字符 + 行距: 1.5 倍行距"/>
    <w:basedOn w:val="1"/>
    <w:autoRedefine/>
    <w:qFormat/>
    <w:uiPriority w:val="0"/>
    <w:pPr>
      <w:spacing w:line="360" w:lineRule="auto"/>
      <w:ind w:firstLine="470" w:firstLineChars="196"/>
    </w:pPr>
    <w:rPr>
      <w:sz w:val="24"/>
      <w:szCs w:val="20"/>
    </w:rPr>
  </w:style>
  <w:style w:type="paragraph" w:customStyle="1" w:styleId="199">
    <w:name w:val="tableau"/>
    <w:basedOn w:val="1"/>
    <w:autoRedefine/>
    <w:qFormat/>
    <w:uiPriority w:val="0"/>
    <w:pPr>
      <w:widowControl/>
      <w:spacing w:before="20" w:after="20"/>
      <w:jc w:val="center"/>
    </w:pPr>
    <w:rPr>
      <w:rFonts w:ascii="Arial" w:hAnsi="Arial"/>
      <w:kern w:val="0"/>
      <w:sz w:val="16"/>
      <w:szCs w:val="20"/>
      <w:lang w:val="en-GB" w:eastAsia="en-US"/>
    </w:rPr>
  </w:style>
  <w:style w:type="paragraph" w:customStyle="1" w:styleId="200">
    <w:name w:val="项目符号，一级"/>
    <w:basedOn w:val="162"/>
    <w:next w:val="162"/>
    <w:autoRedefine/>
    <w:qFormat/>
    <w:uiPriority w:val="0"/>
    <w:pPr>
      <w:tabs>
        <w:tab w:val="left" w:pos="1320"/>
      </w:tabs>
      <w:spacing w:line="240" w:lineRule="atLeast"/>
      <w:ind w:left="376" w:leftChars="179" w:firstLine="0"/>
    </w:pPr>
    <w:rPr>
      <w:bCs w:val="0"/>
      <w:color w:val="000000"/>
      <w:szCs w:val="24"/>
    </w:rPr>
  </w:style>
  <w:style w:type="paragraph" w:customStyle="1" w:styleId="201">
    <w:name w:val="Char Char1 Char Char Char Char1 Char Char Char Char Char Char"/>
    <w:basedOn w:val="1"/>
    <w:autoRedefine/>
    <w:qFormat/>
    <w:uiPriority w:val="0"/>
    <w:rPr>
      <w:rFonts w:ascii="Tahoma" w:hAnsi="Tahoma"/>
      <w:sz w:val="24"/>
      <w:szCs w:val="20"/>
    </w:rPr>
  </w:style>
  <w:style w:type="paragraph" w:customStyle="1" w:styleId="202">
    <w:name w:val="默认段落字体 Para Char Char Char Char Char Char Char Char Char1 Char Char Char Char Char Char Char"/>
    <w:basedOn w:val="14"/>
    <w:autoRedefine/>
    <w:qFormat/>
    <w:uiPriority w:val="0"/>
    <w:rPr>
      <w:szCs w:val="20"/>
    </w:rPr>
  </w:style>
  <w:style w:type="paragraph" w:customStyle="1" w:styleId="203">
    <w:name w:val="Char Char Char Char"/>
    <w:basedOn w:val="1"/>
    <w:autoRedefine/>
    <w:qFormat/>
    <w:uiPriority w:val="0"/>
    <w:pPr>
      <w:widowControl/>
      <w:spacing w:after="160" w:line="240" w:lineRule="exact"/>
      <w:jc w:val="center"/>
    </w:pPr>
    <w:rPr>
      <w:rFonts w:ascii="黑体" w:hAnsi="Verdana" w:eastAsia="黑体"/>
      <w:kern w:val="0"/>
      <w:sz w:val="32"/>
      <w:szCs w:val="32"/>
      <w:lang w:eastAsia="en-US"/>
    </w:rPr>
  </w:style>
  <w:style w:type="paragraph" w:customStyle="1" w:styleId="204">
    <w:name w:val="7"/>
    <w:basedOn w:val="1"/>
    <w:next w:val="38"/>
    <w:autoRedefine/>
    <w:qFormat/>
    <w:uiPriority w:val="0"/>
    <w:pPr>
      <w:widowControl/>
      <w:spacing w:before="100" w:beforeAutospacing="1" w:after="100" w:afterAutospacing="1"/>
      <w:jc w:val="left"/>
    </w:pPr>
    <w:rPr>
      <w:rFonts w:ascii="宋体" w:hAnsi="宋体"/>
      <w:kern w:val="0"/>
      <w:sz w:val="24"/>
      <w:szCs w:val="20"/>
    </w:rPr>
  </w:style>
  <w:style w:type="paragraph" w:customStyle="1" w:styleId="205">
    <w:name w:val="列出段落1"/>
    <w:basedOn w:val="1"/>
    <w:autoRedefine/>
    <w:qFormat/>
    <w:uiPriority w:val="0"/>
    <w:pPr>
      <w:ind w:firstLine="420" w:firstLineChars="200"/>
    </w:pPr>
    <w:rPr>
      <w:szCs w:val="22"/>
    </w:rPr>
  </w:style>
  <w:style w:type="paragraph" w:customStyle="1" w:styleId="206">
    <w:name w:val="正文 首行缩进:  2 字符 Char Char"/>
    <w:basedOn w:val="1"/>
    <w:autoRedefine/>
    <w:qFormat/>
    <w:uiPriority w:val="0"/>
    <w:pPr>
      <w:spacing w:line="360" w:lineRule="auto"/>
      <w:ind w:firstLine="480"/>
    </w:pPr>
    <w:rPr>
      <w:rFonts w:ascii="楷体_GB2312" w:eastAsia="楷体_GB2312"/>
      <w:bCs/>
      <w:sz w:val="24"/>
    </w:rPr>
  </w:style>
  <w:style w:type="paragraph" w:customStyle="1" w:styleId="207">
    <w:name w:val="Char Char Char Char Char Char Char"/>
    <w:basedOn w:val="1"/>
    <w:autoRedefine/>
    <w:qFormat/>
    <w:uiPriority w:val="0"/>
    <w:rPr>
      <w:rFonts w:ascii="Tahoma" w:hAnsi="Tahoma"/>
      <w:sz w:val="24"/>
      <w:szCs w:val="20"/>
    </w:rPr>
  </w:style>
  <w:style w:type="paragraph" w:customStyle="1" w:styleId="208">
    <w:name w:val="列出段落11"/>
    <w:basedOn w:val="1"/>
    <w:autoRedefine/>
    <w:qFormat/>
    <w:uiPriority w:val="0"/>
    <w:pPr>
      <w:widowControl/>
      <w:ind w:left="720"/>
      <w:contextualSpacing/>
      <w:jc w:val="left"/>
    </w:pPr>
    <w:rPr>
      <w:rFonts w:ascii="Arial" w:hAnsi="Arial" w:eastAsia="黑体"/>
      <w:kern w:val="0"/>
      <w:sz w:val="24"/>
      <w:lang w:eastAsia="en-US"/>
    </w:rPr>
  </w:style>
  <w:style w:type="paragraph" w:customStyle="1" w:styleId="209">
    <w:name w:val="标题4，章节第四层"/>
    <w:basedOn w:val="1"/>
    <w:next w:val="1"/>
    <w:autoRedefine/>
    <w:qFormat/>
    <w:uiPriority w:val="0"/>
    <w:pPr>
      <w:tabs>
        <w:tab w:val="left" w:pos="0"/>
      </w:tabs>
      <w:spacing w:line="360" w:lineRule="auto"/>
      <w:outlineLvl w:val="3"/>
    </w:pPr>
    <w:rPr>
      <w:rFonts w:ascii="宋体" w:hAnsi="宋体"/>
      <w:b/>
      <w:sz w:val="24"/>
    </w:rPr>
  </w:style>
  <w:style w:type="paragraph" w:customStyle="1" w:styleId="210">
    <w:name w:val="段落"/>
    <w:autoRedefine/>
    <w:qFormat/>
    <w:uiPriority w:val="0"/>
    <w:pPr>
      <w:adjustRightInd w:val="0"/>
      <w:snapToGrid w:val="0"/>
      <w:spacing w:before="120" w:after="120" w:line="360" w:lineRule="auto"/>
      <w:ind w:firstLine="480" w:firstLineChars="200"/>
      <w:jc w:val="both"/>
    </w:pPr>
    <w:rPr>
      <w:rFonts w:ascii="Calibri" w:hAnsi="Calibri" w:eastAsia="仿宋_GB2312" w:cs="Times New Roman"/>
      <w:kern w:val="2"/>
      <w:sz w:val="24"/>
      <w:szCs w:val="24"/>
      <w:lang w:val="en-US" w:eastAsia="zh-CN" w:bidi="ar-SA"/>
    </w:rPr>
  </w:style>
  <w:style w:type="paragraph" w:customStyle="1" w:styleId="211">
    <w:name w:val="flNote"/>
    <w:basedOn w:val="1"/>
    <w:autoRedefine/>
    <w:qFormat/>
    <w:uiPriority w:val="0"/>
    <w:pPr>
      <w:adjustRightInd w:val="0"/>
      <w:spacing w:before="567" w:line="360" w:lineRule="atLeast"/>
      <w:jc w:val="center"/>
      <w:textAlignment w:val="baseline"/>
    </w:pPr>
    <w:rPr>
      <w:rFonts w:eastAsia="黑体"/>
      <w:b/>
      <w:kern w:val="0"/>
      <w:sz w:val="24"/>
      <w:szCs w:val="20"/>
    </w:rPr>
  </w:style>
  <w:style w:type="paragraph" w:customStyle="1" w:styleId="212">
    <w:name w:val="flName"/>
    <w:basedOn w:val="211"/>
    <w:autoRedefine/>
    <w:qFormat/>
    <w:uiPriority w:val="0"/>
    <w:pPr>
      <w:spacing w:before="0" w:line="113" w:lineRule="atLeast"/>
    </w:pPr>
  </w:style>
  <w:style w:type="paragraph" w:customStyle="1" w:styleId="213">
    <w:name w:val="文档正文"/>
    <w:basedOn w:val="1"/>
    <w:autoRedefine/>
    <w:qFormat/>
    <w:uiPriority w:val="0"/>
    <w:pPr>
      <w:spacing w:line="360" w:lineRule="auto"/>
    </w:pPr>
    <w:rPr>
      <w:rFonts w:ascii="宋体" w:hAnsi="宋体"/>
      <w:b/>
      <w:bCs/>
    </w:rPr>
  </w:style>
  <w:style w:type="paragraph" w:customStyle="1" w:styleId="214">
    <w:name w:val="xl3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kern w:val="0"/>
      <w:sz w:val="20"/>
      <w:szCs w:val="20"/>
    </w:rPr>
  </w:style>
  <w:style w:type="paragraph" w:customStyle="1" w:styleId="215">
    <w:name w:val="z-窗体顶端1"/>
    <w:basedOn w:val="1"/>
    <w:next w:val="1"/>
    <w:autoRedefine/>
    <w:qFormat/>
    <w:uiPriority w:val="0"/>
    <w:pPr>
      <w:widowControl/>
      <w:pBdr>
        <w:bottom w:val="single" w:color="auto" w:sz="6" w:space="1"/>
      </w:pBdr>
      <w:jc w:val="center"/>
    </w:pPr>
    <w:rPr>
      <w:rFonts w:ascii="Arial" w:hAnsi="Arial" w:cs="Arial"/>
      <w:vanish/>
      <w:sz w:val="16"/>
      <w:szCs w:val="16"/>
    </w:rPr>
  </w:style>
  <w:style w:type="paragraph" w:customStyle="1" w:styleId="216">
    <w:name w:val="正文--表格内正文"/>
    <w:basedOn w:val="1"/>
    <w:autoRedefine/>
    <w:qFormat/>
    <w:uiPriority w:val="0"/>
    <w:pPr>
      <w:spacing w:beforeLines="50" w:line="0" w:lineRule="atLeast"/>
      <w:jc w:val="center"/>
    </w:pPr>
    <w:rPr>
      <w:rFonts w:ascii="宋体" w:hAnsi="宋体"/>
      <w:color w:val="000000"/>
      <w:sz w:val="24"/>
    </w:rPr>
  </w:style>
  <w:style w:type="paragraph" w:customStyle="1" w:styleId="217">
    <w:name w:val="font6"/>
    <w:basedOn w:val="1"/>
    <w:autoRedefine/>
    <w:qFormat/>
    <w:uiPriority w:val="0"/>
    <w:pPr>
      <w:widowControl/>
      <w:spacing w:before="100" w:beforeAutospacing="1" w:after="100" w:afterAutospacing="1"/>
      <w:jc w:val="left"/>
    </w:pPr>
    <w:rPr>
      <w:kern w:val="0"/>
      <w:szCs w:val="21"/>
    </w:rPr>
  </w:style>
  <w:style w:type="paragraph" w:customStyle="1" w:styleId="218">
    <w:name w:val="Char Char1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19">
    <w:name w:val="zw"/>
    <w:basedOn w:val="1"/>
    <w:autoRedefine/>
    <w:qFormat/>
    <w:uiPriority w:val="0"/>
    <w:pPr>
      <w:widowControl/>
      <w:spacing w:line="360" w:lineRule="auto"/>
      <w:ind w:firstLine="480" w:firstLineChars="200"/>
      <w:jc w:val="left"/>
    </w:pPr>
    <w:rPr>
      <w:rFonts w:ascii="宋体" w:hAnsi="宋体"/>
      <w:bCs/>
      <w:kern w:val="0"/>
      <w:sz w:val="24"/>
      <w:szCs w:val="20"/>
    </w:rPr>
  </w:style>
  <w:style w:type="paragraph" w:customStyle="1" w:styleId="220">
    <w:name w:val="xl3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221">
    <w:name w:val="p16"/>
    <w:basedOn w:val="1"/>
    <w:autoRedefine/>
    <w:qFormat/>
    <w:uiPriority w:val="0"/>
    <w:pPr>
      <w:widowControl/>
      <w:ind w:left="720"/>
      <w:jc w:val="left"/>
    </w:pPr>
    <w:rPr>
      <w:rFonts w:ascii="Arial" w:hAnsi="Arial" w:cs="Arial"/>
      <w:kern w:val="0"/>
      <w:sz w:val="24"/>
    </w:rPr>
  </w:style>
  <w:style w:type="paragraph" w:customStyle="1" w:styleId="222">
    <w:name w:val="正文lzq"/>
    <w:basedOn w:val="1"/>
    <w:autoRedefine/>
    <w:qFormat/>
    <w:uiPriority w:val="0"/>
    <w:pPr>
      <w:adjustRightInd w:val="0"/>
      <w:spacing w:line="360" w:lineRule="auto"/>
      <w:ind w:firstLine="480"/>
      <w:textAlignment w:val="baseline"/>
    </w:pPr>
    <w:rPr>
      <w:kern w:val="0"/>
      <w:sz w:val="24"/>
      <w:szCs w:val="20"/>
    </w:rPr>
  </w:style>
  <w:style w:type="paragraph" w:customStyle="1" w:styleId="223">
    <w:name w:val="小四 段落 宋体"/>
    <w:basedOn w:val="12"/>
    <w:autoRedefine/>
    <w:qFormat/>
    <w:uiPriority w:val="0"/>
    <w:pPr>
      <w:tabs>
        <w:tab w:val="clear" w:pos="2952"/>
      </w:tabs>
      <w:spacing w:line="360" w:lineRule="auto"/>
      <w:ind w:left="113" w:right="113" w:firstLine="425"/>
      <w:jc w:val="left"/>
    </w:pPr>
    <w:rPr>
      <w:sz w:val="24"/>
    </w:rPr>
  </w:style>
  <w:style w:type="paragraph" w:customStyle="1" w:styleId="224">
    <w:name w:val="Char Char2 Char"/>
    <w:basedOn w:val="1"/>
    <w:autoRedefine/>
    <w:qFormat/>
    <w:uiPriority w:val="0"/>
    <w:pPr>
      <w:keepNext/>
      <w:keepLines/>
      <w:pageBreakBefore/>
      <w:tabs>
        <w:tab w:val="left" w:pos="390"/>
      </w:tabs>
      <w:ind w:left="390" w:hanging="390"/>
    </w:pPr>
    <w:rPr>
      <w:rFonts w:ascii="Tahoma" w:hAnsi="Tahoma"/>
      <w:sz w:val="24"/>
      <w:szCs w:val="20"/>
    </w:rPr>
  </w:style>
  <w:style w:type="paragraph" w:customStyle="1" w:styleId="225">
    <w:name w:val="样式3"/>
    <w:basedOn w:val="1"/>
    <w:next w:val="1"/>
    <w:autoRedefine/>
    <w:qFormat/>
    <w:uiPriority w:val="0"/>
    <w:pPr>
      <w:spacing w:line="360" w:lineRule="auto"/>
    </w:pPr>
    <w:rPr>
      <w:szCs w:val="20"/>
    </w:rPr>
  </w:style>
  <w:style w:type="paragraph" w:customStyle="1" w:styleId="226">
    <w:name w:val="小四 段落 宋体 Char Char Char"/>
    <w:basedOn w:val="12"/>
    <w:autoRedefine/>
    <w:qFormat/>
    <w:uiPriority w:val="0"/>
    <w:pPr>
      <w:tabs>
        <w:tab w:val="clear" w:pos="2952"/>
      </w:tabs>
      <w:spacing w:line="360" w:lineRule="auto"/>
      <w:ind w:left="0" w:right="-33" w:firstLine="545" w:firstLineChars="227"/>
      <w:jc w:val="left"/>
    </w:pPr>
    <w:rPr>
      <w:sz w:val="24"/>
    </w:rPr>
  </w:style>
  <w:style w:type="paragraph" w:customStyle="1" w:styleId="227">
    <w:name w:val="Test2"/>
    <w:basedOn w:val="3"/>
    <w:autoRedefine/>
    <w:qFormat/>
    <w:uiPriority w:val="0"/>
    <w:pPr>
      <w:widowControl/>
      <w:adjustRightInd w:val="0"/>
      <w:snapToGrid w:val="0"/>
      <w:spacing w:beforeLines="50" w:afterLines="50" w:line="480" w:lineRule="exact"/>
      <w:jc w:val="center"/>
    </w:pPr>
    <w:rPr>
      <w:rFonts w:ascii="黑体"/>
      <w:snapToGrid w:val="0"/>
      <w:kern w:val="0"/>
      <w:sz w:val="24"/>
      <w:szCs w:val="24"/>
    </w:rPr>
  </w:style>
  <w:style w:type="paragraph" w:customStyle="1" w:styleId="228">
    <w:name w:val="普通(网站)1"/>
    <w:basedOn w:val="1"/>
    <w:autoRedefine/>
    <w:qFormat/>
    <w:uiPriority w:val="0"/>
    <w:pPr>
      <w:widowControl/>
      <w:spacing w:before="100" w:beforeAutospacing="1" w:after="100" w:afterAutospacing="1"/>
      <w:jc w:val="left"/>
    </w:pPr>
    <w:rPr>
      <w:rFonts w:ascii="宋体" w:cs="宋体"/>
      <w:kern w:val="0"/>
      <w:sz w:val="24"/>
    </w:rPr>
  </w:style>
  <w:style w:type="paragraph" w:customStyle="1" w:styleId="229">
    <w:name w:val="Char2"/>
    <w:basedOn w:val="14"/>
    <w:autoRedefine/>
    <w:qFormat/>
    <w:uiPriority w:val="0"/>
    <w:rPr>
      <w:rFonts w:ascii="Tahoma" w:hAnsi="Tahoma"/>
      <w:sz w:val="24"/>
    </w:rPr>
  </w:style>
  <w:style w:type="paragraph" w:customStyle="1" w:styleId="230">
    <w:name w:val="符号与编号 Char Char"/>
    <w:basedOn w:val="1"/>
    <w:autoRedefine/>
    <w:qFormat/>
    <w:uiPriority w:val="0"/>
    <w:pPr>
      <w:tabs>
        <w:tab w:val="left" w:pos="840"/>
      </w:tabs>
      <w:spacing w:afterLines="50" w:line="400" w:lineRule="atLeast"/>
      <w:ind w:left="839" w:hanging="419"/>
    </w:pPr>
    <w:rPr>
      <w:sz w:val="24"/>
    </w:rPr>
  </w:style>
  <w:style w:type="paragraph" w:customStyle="1" w:styleId="231">
    <w:name w:val="马刚标题4"/>
    <w:basedOn w:val="151"/>
    <w:next w:val="1"/>
    <w:autoRedefine/>
    <w:qFormat/>
    <w:uiPriority w:val="0"/>
    <w:pPr>
      <w:tabs>
        <w:tab w:val="left" w:pos="1050"/>
      </w:tabs>
      <w:spacing w:before="100" w:after="40"/>
      <w:outlineLvl w:val="3"/>
    </w:pPr>
    <w:rPr>
      <w:b w:val="0"/>
    </w:rPr>
  </w:style>
  <w:style w:type="paragraph" w:customStyle="1" w:styleId="232">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33">
    <w:name w:val="部分1"/>
    <w:basedOn w:val="1"/>
    <w:autoRedefine/>
    <w:qFormat/>
    <w:uiPriority w:val="0"/>
    <w:pPr>
      <w:keepNext/>
      <w:pageBreakBefore/>
      <w:tabs>
        <w:tab w:val="left" w:pos="360"/>
      </w:tabs>
      <w:spacing w:line="360" w:lineRule="auto"/>
      <w:jc w:val="center"/>
      <w:outlineLvl w:val="0"/>
    </w:pPr>
    <w:rPr>
      <w:rFonts w:eastAsia="黑体"/>
      <w:b/>
      <w:kern w:val="44"/>
      <w:sz w:val="36"/>
      <w:szCs w:val="20"/>
    </w:rPr>
  </w:style>
  <w:style w:type="paragraph" w:customStyle="1" w:styleId="234">
    <w:name w:val="表格内文字"/>
    <w:basedOn w:val="1"/>
    <w:autoRedefine/>
    <w:qFormat/>
    <w:uiPriority w:val="0"/>
    <w:pPr>
      <w:spacing w:line="300" w:lineRule="atLeast"/>
    </w:pPr>
    <w:rPr>
      <w:sz w:val="18"/>
    </w:rPr>
  </w:style>
  <w:style w:type="paragraph" w:customStyle="1" w:styleId="235">
    <w:name w:val="Char"/>
    <w:basedOn w:val="1"/>
    <w:autoRedefine/>
    <w:qFormat/>
    <w:uiPriority w:val="0"/>
    <w:pPr>
      <w:spacing w:afterLines="50" w:line="360" w:lineRule="auto"/>
    </w:pPr>
    <w:rPr>
      <w:rFonts w:ascii="Tahoma" w:hAnsi="Tahoma"/>
      <w:sz w:val="24"/>
      <w:szCs w:val="20"/>
    </w:rPr>
  </w:style>
  <w:style w:type="paragraph" w:customStyle="1" w:styleId="236">
    <w:name w:val="公文标题 2"/>
    <w:basedOn w:val="1"/>
    <w:next w:val="130"/>
    <w:autoRedefine/>
    <w:qFormat/>
    <w:uiPriority w:val="0"/>
    <w:pPr>
      <w:outlineLvl w:val="1"/>
    </w:pPr>
    <w:rPr>
      <w:rFonts w:ascii="仿宋_GB2312" w:hAnsi="宋体" w:eastAsia="仿宋_GB2312"/>
      <w:kern w:val="28"/>
      <w:sz w:val="28"/>
    </w:rPr>
  </w:style>
  <w:style w:type="paragraph" w:customStyle="1" w:styleId="237">
    <w:name w:val="小四 段落 宋体 Char"/>
    <w:basedOn w:val="12"/>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238">
    <w:name w:val="样式 模板正文 + 左侧:  2 字符 段前: 0 磅 行距: 单倍行距"/>
    <w:basedOn w:val="1"/>
    <w:autoRedefine/>
    <w:qFormat/>
    <w:uiPriority w:val="0"/>
    <w:pPr>
      <w:wordWrap w:val="0"/>
      <w:spacing w:before="120" w:line="320" w:lineRule="exact"/>
      <w:ind w:firstLine="200" w:firstLineChars="200"/>
    </w:pPr>
    <w:rPr>
      <w:rFonts w:ascii="Arial" w:hAnsi="Arial" w:cs="宋体"/>
      <w:szCs w:val="20"/>
    </w:rPr>
  </w:style>
  <w:style w:type="paragraph" w:customStyle="1" w:styleId="239">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40">
    <w:name w:val="CD 正文"/>
    <w:basedOn w:val="1"/>
    <w:autoRedefine/>
    <w:qFormat/>
    <w:uiPriority w:val="0"/>
    <w:pPr>
      <w:jc w:val="left"/>
    </w:pPr>
    <w:rPr>
      <w:rFonts w:ascii="Arial" w:hAnsi="Arial" w:eastAsia="微软雅黑"/>
    </w:rPr>
  </w:style>
  <w:style w:type="paragraph" w:customStyle="1" w:styleId="241">
    <w:name w:val="xl3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color w:val="000000"/>
      <w:kern w:val="0"/>
      <w:sz w:val="20"/>
      <w:szCs w:val="20"/>
    </w:rPr>
  </w:style>
  <w:style w:type="paragraph" w:customStyle="1" w:styleId="242">
    <w:name w:val="列出段落2"/>
    <w:basedOn w:val="1"/>
    <w:autoRedefine/>
    <w:qFormat/>
    <w:uiPriority w:val="0"/>
    <w:pPr>
      <w:widowControl/>
      <w:ind w:left="720"/>
      <w:contextualSpacing/>
      <w:jc w:val="left"/>
    </w:pPr>
    <w:rPr>
      <w:rFonts w:ascii="Arial" w:hAnsi="Arial" w:eastAsia="黑体"/>
      <w:kern w:val="0"/>
      <w:sz w:val="24"/>
      <w:lang w:eastAsia="en-US"/>
    </w:rPr>
  </w:style>
  <w:style w:type="paragraph" w:customStyle="1" w:styleId="243">
    <w:name w:val="马刚标题1"/>
    <w:basedOn w:val="2"/>
    <w:next w:val="1"/>
    <w:autoRedefine/>
    <w:qFormat/>
    <w:uiPriority w:val="0"/>
    <w:pPr>
      <w:tabs>
        <w:tab w:val="left" w:pos="315"/>
        <w:tab w:val="left" w:pos="567"/>
      </w:tabs>
      <w:spacing w:before="400" w:after="120"/>
      <w:ind w:left="567" w:hanging="567"/>
      <w:jc w:val="left"/>
    </w:pPr>
    <w:rPr>
      <w:rFonts w:eastAsia="黑体"/>
      <w:b w:val="0"/>
      <w:bCs w:val="0"/>
      <w:sz w:val="32"/>
      <w:szCs w:val="20"/>
    </w:rPr>
  </w:style>
  <w:style w:type="paragraph" w:customStyle="1" w:styleId="244">
    <w:name w:val="条1"/>
    <w:basedOn w:val="1"/>
    <w:autoRedefine/>
    <w:qFormat/>
    <w:uiPriority w:val="0"/>
    <w:pPr>
      <w:tabs>
        <w:tab w:val="left" w:pos="780"/>
      </w:tabs>
      <w:spacing w:before="156" w:line="360" w:lineRule="auto"/>
      <w:ind w:left="780" w:hanging="360"/>
    </w:pPr>
    <w:rPr>
      <w:rFonts w:eastAsia="黑体"/>
      <w:sz w:val="24"/>
      <w:szCs w:val="20"/>
    </w:rPr>
  </w:style>
  <w:style w:type="paragraph" w:customStyle="1" w:styleId="245">
    <w:name w:val="xl3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246">
    <w:name w:val="qw"/>
    <w:autoRedefine/>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247">
    <w:name w:val="样式 小四 段前: 3 磅 段后: 3 磅 行距: 1.5 倍行距"/>
    <w:basedOn w:val="1"/>
    <w:autoRedefine/>
    <w:qFormat/>
    <w:uiPriority w:val="0"/>
    <w:pPr>
      <w:spacing w:before="60" w:after="60" w:line="360" w:lineRule="auto"/>
      <w:ind w:firstLine="540" w:firstLineChars="225"/>
    </w:pPr>
    <w:rPr>
      <w:rFonts w:cs="宋体"/>
      <w:sz w:val="24"/>
    </w:rPr>
  </w:style>
  <w:style w:type="paragraph" w:customStyle="1" w:styleId="248">
    <w:name w:val="z-窗体底端1"/>
    <w:basedOn w:val="1"/>
    <w:next w:val="1"/>
    <w:autoRedefine/>
    <w:qFormat/>
    <w:uiPriority w:val="0"/>
    <w:pPr>
      <w:widowControl/>
      <w:pBdr>
        <w:top w:val="single" w:color="auto" w:sz="6" w:space="1"/>
      </w:pBdr>
      <w:jc w:val="center"/>
    </w:pPr>
    <w:rPr>
      <w:rFonts w:ascii="Arial" w:hAnsi="Arial" w:cs="Arial"/>
      <w:vanish/>
      <w:sz w:val="16"/>
      <w:szCs w:val="16"/>
    </w:rPr>
  </w:style>
  <w:style w:type="paragraph" w:customStyle="1" w:styleId="249">
    <w:name w:val="华宇段落1 Char"/>
    <w:basedOn w:val="1"/>
    <w:autoRedefine/>
    <w:qFormat/>
    <w:uiPriority w:val="0"/>
    <w:pPr>
      <w:spacing w:line="360" w:lineRule="auto"/>
      <w:ind w:firstLine="200" w:firstLineChars="200"/>
    </w:pPr>
    <w:rPr>
      <w:bCs/>
      <w:sz w:val="24"/>
    </w:rPr>
  </w:style>
  <w:style w:type="paragraph" w:customStyle="1" w:styleId="250">
    <w:name w:val="flType"/>
    <w:basedOn w:val="212"/>
    <w:autoRedefine/>
    <w:qFormat/>
    <w:uiPriority w:val="0"/>
    <w:pPr>
      <w:spacing w:after="284"/>
    </w:pPr>
    <w:rPr>
      <w:rFonts w:eastAsia="宋体"/>
      <w:b w:val="0"/>
    </w:rPr>
  </w:style>
  <w:style w:type="paragraph" w:customStyle="1" w:styleId="251">
    <w:name w:val="正文 居中"/>
    <w:basedOn w:val="1"/>
    <w:autoRedefine/>
    <w:qFormat/>
    <w:uiPriority w:val="0"/>
    <w:pPr>
      <w:spacing w:line="360" w:lineRule="auto"/>
      <w:jc w:val="center"/>
    </w:pPr>
    <w:rPr>
      <w:sz w:val="24"/>
      <w:szCs w:val="20"/>
    </w:rPr>
  </w:style>
  <w:style w:type="paragraph" w:customStyle="1" w:styleId="252">
    <w:name w:val="Char Char Char Char Char Char Char Char Char"/>
    <w:basedOn w:val="1"/>
    <w:autoRedefine/>
    <w:qFormat/>
    <w:uiPriority w:val="0"/>
    <w:rPr>
      <w:szCs w:val="21"/>
    </w:rPr>
  </w:style>
  <w:style w:type="paragraph" w:customStyle="1" w:styleId="253">
    <w:name w:val="xl3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254">
    <w:name w:val="样式 标题 3H3sect1.2.3BOD 0Heading 3 - oldh3l3CTLevel 3 Head..."/>
    <w:basedOn w:val="4"/>
    <w:autoRedefine/>
    <w:qFormat/>
    <w:uiPriority w:val="0"/>
    <w:pPr>
      <w:spacing w:beforeLines="50" w:afterLines="50" w:line="240" w:lineRule="auto"/>
      <w:jc w:val="left"/>
    </w:pPr>
    <w:rPr>
      <w:rFonts w:cs="宋体"/>
      <w:sz w:val="30"/>
      <w:szCs w:val="20"/>
    </w:rPr>
  </w:style>
  <w:style w:type="paragraph" w:customStyle="1" w:styleId="255">
    <w:name w:val="xl4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4"/>
    </w:rPr>
  </w:style>
  <w:style w:type="paragraph" w:customStyle="1" w:styleId="256">
    <w:name w:val="Char Char Char Char Char Char Char1"/>
    <w:basedOn w:val="1"/>
    <w:autoRedefine/>
    <w:qFormat/>
    <w:uiPriority w:val="0"/>
    <w:pPr>
      <w:jc w:val="left"/>
    </w:pPr>
    <w:rPr>
      <w:rFonts w:ascii="Tahoma" w:hAnsi="Tahoma"/>
      <w:sz w:val="24"/>
      <w:szCs w:val="20"/>
    </w:rPr>
  </w:style>
  <w:style w:type="paragraph" w:customStyle="1" w:styleId="257">
    <w:name w:val="表头_5"/>
    <w:basedOn w:val="1"/>
    <w:autoRedefine/>
    <w:qFormat/>
    <w:uiPriority w:val="0"/>
    <w:pPr>
      <w:adjustRightInd w:val="0"/>
      <w:spacing w:line="360" w:lineRule="auto"/>
      <w:textAlignment w:val="baseline"/>
    </w:pPr>
    <w:rPr>
      <w:b/>
      <w:bCs/>
      <w:sz w:val="28"/>
      <w:szCs w:val="21"/>
    </w:rPr>
  </w:style>
  <w:style w:type="paragraph" w:customStyle="1" w:styleId="258">
    <w:name w:val="正文 + 宋体"/>
    <w:basedOn w:val="1"/>
    <w:autoRedefine/>
    <w:qFormat/>
    <w:uiPriority w:val="0"/>
    <w:pPr>
      <w:spacing w:line="360" w:lineRule="auto"/>
      <w:ind w:firstLine="420" w:firstLineChars="200"/>
    </w:pPr>
  </w:style>
  <w:style w:type="paragraph" w:customStyle="1" w:styleId="259">
    <w:name w:val="小四 段落 宋体 Char Char Char Char"/>
    <w:basedOn w:val="1"/>
    <w:autoRedefine/>
    <w:qFormat/>
    <w:uiPriority w:val="0"/>
    <w:pPr>
      <w:spacing w:line="360" w:lineRule="auto"/>
      <w:ind w:right="-33" w:firstLine="480" w:firstLineChars="200"/>
      <w:jc w:val="left"/>
    </w:pPr>
    <w:rPr>
      <w:sz w:val="24"/>
    </w:rPr>
  </w:style>
  <w:style w:type="paragraph" w:customStyle="1" w:styleId="260">
    <w:name w:val="正文 首行缩进:  2 字符 Char"/>
    <w:basedOn w:val="1"/>
    <w:autoRedefine/>
    <w:qFormat/>
    <w:uiPriority w:val="0"/>
    <w:pPr>
      <w:spacing w:line="360" w:lineRule="auto"/>
      <w:ind w:firstLine="480"/>
    </w:pPr>
    <w:rPr>
      <w:rFonts w:cs="宋体"/>
      <w:sz w:val="24"/>
      <w:szCs w:val="20"/>
    </w:rPr>
  </w:style>
  <w:style w:type="paragraph" w:customStyle="1" w:styleId="261">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paragraph" w:customStyle="1" w:styleId="262">
    <w:name w:val="样式 样式 样式 左侧:  2 字符1 + 首行缩进:  2 字符1 + 首行缩进:  2 字符"/>
    <w:basedOn w:val="1"/>
    <w:autoRedefine/>
    <w:qFormat/>
    <w:uiPriority w:val="0"/>
    <w:pPr>
      <w:widowControl/>
      <w:adjustRightInd w:val="0"/>
      <w:spacing w:before="60" w:after="120" w:line="440" w:lineRule="atLeast"/>
      <w:ind w:firstLine="480"/>
      <w:textAlignment w:val="baseline"/>
    </w:pPr>
    <w:rPr>
      <w:rFonts w:ascii="Times New Roman" w:hAnsi="Times New Roman" w:eastAsia="微软雅黑"/>
      <w:sz w:val="24"/>
      <w:szCs w:val="22"/>
    </w:rPr>
  </w:style>
  <w:style w:type="paragraph" w:customStyle="1" w:styleId="263">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customStyle="1" w:styleId="264">
    <w:name w:val="rvps1"/>
    <w:basedOn w:val="1"/>
    <w:autoRedefine/>
    <w:qFormat/>
    <w:uiPriority w:val="0"/>
    <w:pPr>
      <w:widowControl/>
      <w:jc w:val="center"/>
    </w:pPr>
    <w:rPr>
      <w:rFonts w:ascii="Times New Roman" w:hAnsi="Times New Roman"/>
      <w:kern w:val="0"/>
      <w:sz w:val="24"/>
    </w:rPr>
  </w:style>
  <w:style w:type="paragraph" w:customStyle="1" w:styleId="265">
    <w:name w:val="Blockquote"/>
    <w:basedOn w:val="1"/>
    <w:autoRedefine/>
    <w:qFormat/>
    <w:uiPriority w:val="0"/>
    <w:pPr>
      <w:autoSpaceDE w:val="0"/>
      <w:autoSpaceDN w:val="0"/>
      <w:adjustRightInd w:val="0"/>
      <w:spacing w:before="100" w:after="100"/>
      <w:ind w:left="360" w:right="360"/>
      <w:jc w:val="left"/>
    </w:pPr>
    <w:rPr>
      <w:kern w:val="0"/>
      <w:sz w:val="24"/>
    </w:rPr>
  </w:style>
  <w:style w:type="character" w:customStyle="1" w:styleId="266">
    <w:name w:val="rvts10"/>
    <w:basedOn w:val="44"/>
    <w:autoRedefine/>
    <w:qFormat/>
    <w:uiPriority w:val="0"/>
    <w:rPr>
      <w:rFonts w:hint="default" w:ascii="KNLe" w:hAnsi="KNLe"/>
      <w:b/>
      <w:bCs/>
    </w:rPr>
  </w:style>
  <w:style w:type="character" w:customStyle="1" w:styleId="267">
    <w:name w:val="rvts9"/>
    <w:basedOn w:val="44"/>
    <w:autoRedefine/>
    <w:qFormat/>
    <w:uiPriority w:val="0"/>
    <w:rPr>
      <w:rFonts w:hint="default" w:ascii="KNLe" w:hAnsi="KNLe"/>
    </w:rPr>
  </w:style>
  <w:style w:type="character" w:customStyle="1" w:styleId="268">
    <w:name w:val="rvts13"/>
    <w:basedOn w:val="44"/>
    <w:autoRedefine/>
    <w:qFormat/>
    <w:uiPriority w:val="0"/>
    <w:rPr>
      <w:rFonts w:hint="default" w:ascii="KNLe" w:hAnsi="KNLe"/>
      <w:color w:val="000000"/>
    </w:rPr>
  </w:style>
  <w:style w:type="character" w:customStyle="1" w:styleId="269">
    <w:name w:val="rvts14"/>
    <w:basedOn w:val="44"/>
    <w:autoRedefine/>
    <w:qFormat/>
    <w:uiPriority w:val="0"/>
    <w:rPr>
      <w:rFonts w:hint="default" w:ascii="KNLe" w:hAnsi="KNLe"/>
      <w:color w:val="000000"/>
      <w:u w:val="single"/>
    </w:rPr>
  </w:style>
  <w:style w:type="paragraph" w:customStyle="1" w:styleId="270">
    <w:name w:val="rvps2"/>
    <w:basedOn w:val="1"/>
    <w:autoRedefine/>
    <w:qFormat/>
    <w:uiPriority w:val="0"/>
    <w:pPr>
      <w:widowControl/>
    </w:pPr>
    <w:rPr>
      <w:rFonts w:ascii="宋体" w:hAnsi="宋体" w:cs="宋体"/>
      <w:kern w:val="0"/>
      <w:sz w:val="24"/>
    </w:rPr>
  </w:style>
  <w:style w:type="character" w:customStyle="1" w:styleId="271">
    <w:name w:val="rvts19"/>
    <w:basedOn w:val="44"/>
    <w:autoRedefine/>
    <w:qFormat/>
    <w:uiPriority w:val="0"/>
    <w:rPr>
      <w:rFonts w:hint="default" w:ascii="KNLe" w:hAnsi="KNLe"/>
      <w:sz w:val="24"/>
      <w:szCs w:val="24"/>
    </w:rPr>
  </w:style>
  <w:style w:type="character" w:customStyle="1" w:styleId="272">
    <w:name w:val="rvts11"/>
    <w:basedOn w:val="44"/>
    <w:autoRedefine/>
    <w:qFormat/>
    <w:uiPriority w:val="0"/>
    <w:rPr>
      <w:rFonts w:hint="default" w:ascii="KNLe" w:hAnsi="KNLe"/>
      <w:u w:val="single"/>
    </w:rPr>
  </w:style>
  <w:style w:type="paragraph" w:customStyle="1" w:styleId="273">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b w:val="0"/>
      <w:bCs w:val="0"/>
      <w:sz w:val="28"/>
      <w:szCs w:val="20"/>
    </w:rPr>
  </w:style>
  <w:style w:type="character" w:customStyle="1" w:styleId="274">
    <w:name w:val="rvts33"/>
    <w:autoRedefine/>
    <w:qFormat/>
    <w:uiPriority w:val="0"/>
    <w:rPr>
      <w:rFonts w:hint="default" w:ascii="KNLe" w:hAnsi="KNLe"/>
      <w:color w:val="000000"/>
      <w:sz w:val="24"/>
      <w:szCs w:val="24"/>
    </w:rPr>
  </w:style>
  <w:style w:type="character" w:customStyle="1" w:styleId="275">
    <w:name w:val="rvts12"/>
    <w:autoRedefine/>
    <w:qFormat/>
    <w:uiPriority w:val="0"/>
    <w:rPr>
      <w:rFonts w:hint="default" w:ascii="KNLe" w:hAnsi="KNLe"/>
      <w:b/>
      <w:bCs/>
      <w:u w:val="single"/>
    </w:rPr>
  </w:style>
  <w:style w:type="character" w:customStyle="1" w:styleId="276">
    <w:name w:val="NormalCharacter"/>
    <w:autoRedefine/>
    <w:qFormat/>
    <w:uiPriority w:val="99"/>
    <w:rPr>
      <w:rFonts w:ascii="Calibri" w:hAnsi="Calibri" w:eastAsia="宋体" w:cs="Calibri"/>
    </w:rPr>
  </w:style>
  <w:style w:type="paragraph" w:customStyle="1" w:styleId="277">
    <w:name w:val="_Style 23"/>
    <w:basedOn w:val="1"/>
    <w:next w:val="1"/>
    <w:qFormat/>
    <w:uiPriority w:val="0"/>
    <w:pPr>
      <w:pBdr>
        <w:bottom w:val="single" w:color="auto" w:sz="6" w:space="1"/>
      </w:pBdr>
      <w:jc w:val="center"/>
    </w:pPr>
    <w:rPr>
      <w:rFonts w:ascii="Arial"/>
      <w:vanish/>
      <w:sz w:val="16"/>
    </w:rPr>
  </w:style>
  <w:style w:type="paragraph" w:customStyle="1" w:styleId="278">
    <w:name w:val="(1)样式"/>
    <w:basedOn w:val="1"/>
    <w:qFormat/>
    <w:uiPriority w:val="0"/>
    <w:pPr>
      <w:ind w:firstLine="480" w:firstLineChars="200"/>
    </w:pPr>
    <w:rPr>
      <w:rFonts w:ascii="仿宋_GB2312" w:eastAsia="仿宋_GB2312" w:cs="宋体"/>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文档" ma:contentTypeID="0x01010080340F6F440D0B4EA5026FFDB8FFDB55" ma:contentTypeVersion="1" ma:contentTypeDescription="新建文档。" ma:contentTypeScope="" ma:versionID="4a62dab36835a9c2438dfec9989dc14c">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3A3631-AA5E-432E-8C7F-8C984974962C}">
  <ds:schemaRefs/>
</ds:datastoreItem>
</file>

<file path=customXml/itemProps3.xml><?xml version="1.0" encoding="utf-8"?>
<ds:datastoreItem xmlns:ds="http://schemas.openxmlformats.org/officeDocument/2006/customXml" ds:itemID="{DDB28C53-7273-49CB-978D-1258122704A5}">
  <ds:schemaRefs/>
</ds:datastoreItem>
</file>

<file path=customXml/itemProps4.xml><?xml version="1.0" encoding="utf-8"?>
<ds:datastoreItem xmlns:ds="http://schemas.openxmlformats.org/officeDocument/2006/customXml" ds:itemID="{38E5CD48-CE4E-48D4-A4F4-00DE24C0B987}">
  <ds:schemaRefs/>
</ds:datastoreItem>
</file>

<file path=docProps/app.xml><?xml version="1.0" encoding="utf-8"?>
<Properties xmlns="http://schemas.openxmlformats.org/officeDocument/2006/extended-properties" xmlns:vt="http://schemas.openxmlformats.org/officeDocument/2006/docPropsVTypes">
  <Template>Normal</Template>
  <Company>daohangxitong.com</Company>
  <Pages>36</Pages>
  <Words>2532</Words>
  <Characters>14438</Characters>
  <Lines>120</Lines>
  <Paragraphs>33</Paragraphs>
  <TotalTime>7</TotalTime>
  <ScaleCrop>false</ScaleCrop>
  <LinksUpToDate>false</LinksUpToDate>
  <CharactersWithSpaces>16937</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nanjingshi</dc:creator>
  <cp:lastModifiedBy>Lenovo</cp:lastModifiedBy>
  <cp:revision>8</cp:revision>
  <cp:lastPrinted>2025-07-09T01:44:00Z</cp:lastPrinted>
  <dcterms:created xsi:type="dcterms:W3CDTF">2019-01-31T10:31:00Z</dcterms:created>
  <dcterms:modified xsi:type="dcterms:W3CDTF">2026-07-20T09:05:33Z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0CA55D2217FF4421B56ABEC4A2E58D05_13</vt:lpwstr>
  </property>
  <property fmtid="{D5CDD505-2E9C-101B-9397-08002B2CF9AE}" pid="4" name="KSOTemplateDocerSaveRecord">
    <vt:lpwstr>eyJoZGlkIjoiZTEwMDc4NjAzNTI0M2EwZmIwMTZjYjc0NmZiYmJlYzkiLCJ1c2VySWQiOiIyOTM4NTkwMDIifQ==</vt:lpwstr>
  </property>
  <property fmtid="{D5CDD505-2E9C-101B-9397-08002B2CF9AE}" pid="5" name="ContentTypeId">
    <vt:lpwstr>0x01010080340F6F440D0B4EA5026FFDB8FFDB55</vt:lpwstr>
  </property>
</Properties>
</file>