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uto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附件1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参与谈判回执</w:t>
      </w: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致：中石化石油物探技术研究院有限公司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我单位已收到贵单位关于《物探院综合办公系统岗位竞聘管理功能优化》的谈判邀请函，现就是否参与本次项目谈判，函复如下：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☐ 我单位确认参加本项目谈判，并将按照贵单位谈判文件的要求，组织编制响应文件，并按时参加后续谈判相关活动。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☐ 我单位决定不参加本项目谈判，原因如下（可选填写）：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联系人姓名：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联系方式：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单位全称（加盖公章）：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法定代表人或授权代表签字：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年    月    日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附件2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>
      <w:pPr>
        <w:numPr>
          <w:ilvl w:val="255"/>
          <w:numId w:val="0"/>
        </w:num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回函前须知表</w:t>
      </w:r>
    </w:p>
    <w:p>
      <w:pPr>
        <w:spacing w:line="56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（资格审查文件）</w:t>
      </w:r>
    </w:p>
    <w:tbl>
      <w:tblPr>
        <w:tblStyle w:val="2"/>
        <w:tblW w:w="5677" w:type="pct"/>
        <w:jc w:val="center"/>
        <w:tblCellSpacing w:w="15" w:type="dxa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94"/>
        <w:gridCol w:w="3160"/>
        <w:gridCol w:w="5679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序号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内 容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32"/>
                <w:szCs w:val="32"/>
                <w:lang w:bidi="ar"/>
              </w:rPr>
              <w:t>说明与要求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发包人名称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中石化石油物探技术研究院有限公司</w:t>
            </w:r>
          </w:p>
        </w:tc>
      </w:tr>
      <w:tr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2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谈判人的资质要求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</w:p>
        </w:tc>
        <w:tc>
          <w:tcPr>
            <w:tcW w:w="2954" w:type="pct"/>
            <w:vAlign w:val="center"/>
          </w:tcPr>
          <w:p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营业范围：营业执照经营范围应包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含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（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其中之一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eastAsia="zh-CN" w:bidi="ar"/>
              </w:rPr>
              <w:t>：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技术服务、软件研发、信息技术、技术咨询服务等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 xml:space="preserve">相关内容；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 xml:space="preserve">业绩要求：具有软件研发相关经验； 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信用要求：未被列入“信用中国”“国家企业信用信息公示系统”严重失信名单；</w:t>
            </w:r>
          </w:p>
          <w:p>
            <w:pPr>
              <w:widowControl/>
              <w:numPr>
                <w:ilvl w:val="0"/>
                <w:numId w:val="1"/>
              </w:numPr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财务要求：财务状况良好，应附加盖公章的近三年（2023-2025年）财务报表。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3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最高限价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19.5万元（含税价）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2" w:hRule="atLeast"/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4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报价方式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固定总价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5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报价文件有效期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自谈判文件发出之日起，60天内保持有效。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6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报价文件份数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商务、技术、资格审查文件分开装订。</w:t>
            </w:r>
          </w:p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正本1份，副本2份，电子文档1份。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7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封装要求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两类类文件分别密封（PDF电子文档装入商务标），封套标注：**技术标、**商务标</w:t>
            </w:r>
            <w:r>
              <w:rPr>
                <w:rStyle w:val="4"/>
                <w:rFonts w:hint="eastAsia" w:ascii="仿宋" w:hAnsi="仿宋" w:eastAsia="仿宋" w:cs="仿宋"/>
                <w:b w:val="0"/>
                <w:bCs/>
                <w:kern w:val="0"/>
                <w:sz w:val="32"/>
                <w:szCs w:val="32"/>
                <w:lang w:bidi="ar"/>
              </w:rPr>
              <w:t>（谈判前不得开启文件）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8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服务期限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1年。</w:t>
            </w:r>
          </w:p>
        </w:tc>
      </w:tr>
      <w:tr>
        <w:trPr>
          <w:tblCellSpacing w:w="15" w:type="dxa"/>
          <w:jc w:val="center"/>
        </w:trPr>
        <w:tc>
          <w:tcPr>
            <w:tcW w:w="340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9</w:t>
            </w:r>
          </w:p>
        </w:tc>
        <w:tc>
          <w:tcPr>
            <w:tcW w:w="1641" w:type="pct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其它事项</w:t>
            </w:r>
          </w:p>
        </w:tc>
        <w:tc>
          <w:tcPr>
            <w:tcW w:w="2954" w:type="pct"/>
            <w:vAlign w:val="center"/>
          </w:tcPr>
          <w:p>
            <w:pPr>
              <w:widowControl/>
              <w:spacing w:line="560" w:lineRule="exac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（1）谈判人须对所有资质文件真实性负责；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（2）如发现提供虚假材料，发包人有权解除合同并追责；</w:t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br w:type="textWrapping"/>
            </w: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bidi="ar"/>
              </w:rPr>
              <w:t>（3）本项目采用资格后审方式。</w:t>
            </w:r>
          </w:p>
        </w:tc>
      </w:tr>
    </w:tbl>
    <w:p>
      <w:pPr>
        <w:spacing w:line="540" w:lineRule="exact"/>
        <w:jc w:val="both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bookmarkStart w:id="0" w:name="_GoBack"/>
      <w:bookmarkEnd w:id="0"/>
    </w:p>
    <w:p>
      <w:pPr>
        <w:spacing w:line="540" w:lineRule="exact"/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第二部分 竞争性谈判选商</w:t>
      </w:r>
    </w:p>
    <w:p>
      <w:pPr>
        <w:numPr>
          <w:ilvl w:val="0"/>
          <w:numId w:val="2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竞争性谈判选商的要求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资格审查；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（资格文件）</w:t>
      </w:r>
    </w:p>
    <w:p>
      <w:pPr>
        <w:widowControl/>
        <w:numPr>
          <w:ilvl w:val="255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资格审查文件请按照附件2的要求准备好电子材料，并提前发送联系人邮箱。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bidi="ar"/>
        </w:rPr>
      </w:pPr>
      <w:r>
        <w:rPr>
          <w:rFonts w:hint="eastAsia" w:ascii="仿宋" w:hAnsi="仿宋" w:eastAsia="仿宋" w:cs="仿宋"/>
          <w:sz w:val="32"/>
          <w:szCs w:val="32"/>
          <w:lang w:bidi="ar"/>
        </w:rPr>
        <w:t>说明：评审组首先对外协单位提交的资格审查材料进行审查，审查合格后方可进入技术评审和商务评审环节。</w:t>
      </w:r>
    </w:p>
    <w:p>
      <w:pPr>
        <w:widowControl/>
        <w:numPr>
          <w:ilvl w:val="255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以上所有材料请封装，并标注资格审查文件。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技术评审；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（技术标）</w:t>
      </w:r>
    </w:p>
    <w:p>
      <w:pPr>
        <w:widowControl/>
        <w:numPr>
          <w:ilvl w:val="255"/>
          <w:numId w:val="0"/>
        </w:numPr>
        <w:spacing w:line="56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技术标包含：技术方案实现路径、考核目标及主要经济技术指标、服务保障机制、计划进度、研究工作的保障条件、提交的成果及预期产生的经济效益等。</w:t>
      </w:r>
    </w:p>
    <w:p>
      <w:pPr>
        <w:widowControl/>
        <w:numPr>
          <w:ilvl w:val="255"/>
          <w:numId w:val="0"/>
        </w:numPr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以上所有文件请封装，并标注技术标文件。为了让评委更好了解贵单位技术方案，请准备汇报PPT。</w:t>
      </w:r>
    </w:p>
    <w:p>
      <w:pPr>
        <w:numPr>
          <w:ilvl w:val="0"/>
          <w:numId w:val="3"/>
        </w:num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商务评审；（商务标）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报价函、报价一览表、报价明细表等；</w:t>
      </w: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以上所有文件请封装，并标注商务标文件。</w:t>
      </w: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ind w:left="440" w:leftChars="200" w:firstLine="321" w:firstLineChars="100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rPr>
          <w:rFonts w:hint="eastAsia" w:ascii="仿宋" w:hAnsi="仿宋" w:eastAsia="仿宋" w:cs="仿宋"/>
          <w:b/>
          <w:bCs/>
          <w:sz w:val="32"/>
          <w:szCs w:val="32"/>
        </w:rPr>
      </w:pPr>
    </w:p>
    <w:p>
      <w:pPr>
        <w:spacing w:line="540" w:lineRule="exact"/>
        <w:jc w:val="center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第三部分 评分细则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本项目采用综合评分法，总分100分，由商务评分与技术评分组成，依据投标人提交的响应文件及谈判过程中提供的相关材料，由谈判评审小组进行综合评定。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 xml:space="preserve">1、综合评审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综合评审总得分=技术评审得分*0.85＋商务评审得分*0.15。总分100分，其中技术分权重占85%，商务分权重占15%。按评审总得分由高到低排序，总分第一的即为谈判成交人</w:t>
      </w:r>
      <w:r>
        <w:rPr>
          <w:rFonts w:hint="eastAsia" w:ascii="仿宋" w:hAnsi="仿宋" w:eastAsia="仿宋" w:cs="仿宋"/>
          <w:b/>
          <w:sz w:val="32"/>
          <w:szCs w:val="32"/>
        </w:rPr>
        <w:t>。</w:t>
      </w:r>
    </w:p>
    <w:p>
      <w:pPr>
        <w:numPr>
          <w:ilvl w:val="0"/>
          <w:numId w:val="4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技术分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评审组根据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技术标的内容与现场的汇报情况</w:t>
      </w:r>
      <w:r>
        <w:rPr>
          <w:rFonts w:hint="eastAsia" w:ascii="仿宋" w:hAnsi="仿宋" w:eastAsia="仿宋" w:cs="仿宋"/>
          <w:sz w:val="32"/>
          <w:szCs w:val="32"/>
        </w:rPr>
        <w:t>，进行技术评审打分，打分范围在[75,100）分之间。技术评审得分计算方法如下：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A=（a1+a2+……+an）/N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（注：A为技术评审得分，N为评委数量，a1、a2…、an为每位评委打分分值）</w:t>
      </w:r>
    </w:p>
    <w:p>
      <w:pPr>
        <w:spacing w:line="540" w:lineRule="exact"/>
        <w:ind w:firstLine="643" w:firstLineChars="200"/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3、商务分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商务报价有无效响应情形的（高于最高限价的），剔除后，按有效报价确定商务评审基准价。商务评审基准价计算方法如下：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（1）当M≤(5)时，B=（b1+b2+……+bm）/M.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（2）当M＞(5)时，去掉最高价和最低价；B=[b2+……+b（m-1）]/（M-2）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（注：b为有效报价，B为评审基准价，M为有效商务报价数量）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商务评审得分计算方法如下： 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商务得分=90+[（平均报价-承担单位报价）/平均报价]×100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商务得分以项目标的额（平均报价）为基准，基准分为90分，每降低或增加1%分别增加或减少1分（最高不能超过100分）。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8322AED"/>
    <w:multiLevelType w:val="singleLevel"/>
    <w:tmpl w:val="88322AED"/>
    <w:lvl w:ilvl="0" w:tentative="0">
      <w:start w:val="2"/>
      <w:numFmt w:val="decimal"/>
      <w:suff w:val="nothing"/>
      <w:lvlText w:val="%1、"/>
      <w:lvlJc w:val="left"/>
    </w:lvl>
  </w:abstractNum>
  <w:abstractNum w:abstractNumId="1">
    <w:nsid w:val="C68BDD18"/>
    <w:multiLevelType w:val="singleLevel"/>
    <w:tmpl w:val="C68BDD18"/>
    <w:lvl w:ilvl="0" w:tentative="0">
      <w:start w:val="1"/>
      <w:numFmt w:val="decimal"/>
      <w:suff w:val="nothing"/>
      <w:lvlText w:val="（%1）"/>
      <w:lvlJc w:val="left"/>
    </w:lvl>
  </w:abstractNum>
  <w:abstractNum w:abstractNumId="2">
    <w:nsid w:val="1A320331"/>
    <w:multiLevelType w:val="singleLevel"/>
    <w:tmpl w:val="1A32033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542FA5EC"/>
    <w:multiLevelType w:val="singleLevel"/>
    <w:tmpl w:val="542FA5EC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5C1E0F"/>
    <w:rsid w:val="575C1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footnotes" Target="footnote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6" Type="http://schemas.openxmlformats.org/officeDocument/2006/relationships/numbering" Target="numbering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10" Type="http://schemas.openxmlformats.org/officeDocument/2006/relationships/customXml" Target="../customXml/item3.xml"/><Relationship Id="rId4" Type="http://schemas.openxmlformats.org/officeDocument/2006/relationships/endnotes" Target="end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80340F6F440D0B4EA5026FFDB8FFDB55" ma:contentTypeVersion="1" ma:contentTypeDescription="新建文档。" ma:contentTypeScope="" ma:versionID="4a62dab36835a9c2438dfec9989dc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107b0345c29e57748057d300629ffc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计划开始日期" ma:description="“计划开始日期”是由“发布”功能创建的网站栏。它用于指定第一次向网站访问者显示此页面的日期和时间。" ma:hidden="true" ma:internalName="PublishingStartDate">
      <xsd:simpleType>
        <xsd:restriction base="dms:Unknown"/>
      </xsd:simpleType>
    </xsd:element>
    <xsd:element name="PublishingExpirationDate" ma:index="9" nillable="true" ma:displayName="计划结束日期" ma:description="“计划结束日期”是由“发布”功能创建的网站栏。它用于指定不再向网站访问者显示此页面的日期和时间。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06CCACD-D34C-4D9F-A1B8-B96A4764E025}"/>
</file>

<file path=customXml/itemProps2.xml><?xml version="1.0" encoding="utf-8"?>
<ds:datastoreItem xmlns:ds="http://schemas.openxmlformats.org/officeDocument/2006/customXml" ds:itemID="{7EEBC878-96C0-47B1-81CE-23A338338654}"/>
</file>

<file path=customXml/itemProps3.xml><?xml version="1.0" encoding="utf-8"?>
<ds:datastoreItem xmlns:ds="http://schemas.openxmlformats.org/officeDocument/2006/customXml" ds:itemID="{B2EAE783-EA80-4E52-8BD3-FB96B206F4F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Office_11.8.0.16970_F1E327BC-269C-435d-A152-05C5408002CA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周衍</dc:creator>
  <cp:lastModifiedBy>周衍</cp:lastModifiedBy>
  <cp:revision>1</cp:revision>
  <dcterms:created xsi:type="dcterms:W3CDTF">2026-03-13T08:43:00Z</dcterms:created>
  <dcterms:modified xsi:type="dcterms:W3CDTF">2026-03-13T08:44:06Z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2052-11.8.0.16970</vt:lpwstr>
  </property>
  <property fmtid="{D5CDD505-2E9C-101B-9397-08002B2CF9AE}" pid="3" name="ICV">
    <vt:lpwstr>001EC2CAF1A7441F93EE45F9E95F871B</vt:lpwstr>
  </property>
  <property fmtid="{D5CDD505-2E9C-101B-9397-08002B2CF9AE}" pid="4" name="ContentTypeId">
    <vt:lpwstr>0x01010080340F6F440D0B4EA5026FFDB8FFDB55</vt:lpwstr>
  </property>
</Properties>
</file>