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kern w:val="0"/>
          <w:sz w:val="44"/>
          <w:szCs w:val="44"/>
        </w:rPr>
      </w:pPr>
      <w:r>
        <w:rPr>
          <w:rFonts w:ascii="黑体" w:hAnsi="黑体" w:eastAsia="黑体" w:cs="宋体"/>
          <w:kern w:val="0"/>
          <w:sz w:val="44"/>
          <w:szCs w:val="44"/>
        </w:rPr>
        <w:t>2024年中石化物探院算力中心</w:t>
      </w:r>
    </w:p>
    <w:p>
      <w:pPr>
        <w:widowControl/>
        <w:jc w:val="center"/>
        <w:rPr>
          <w:rFonts w:ascii="黑体" w:hAnsi="黑体" w:eastAsia="黑体" w:cs="宋体"/>
          <w:kern w:val="0"/>
          <w:sz w:val="44"/>
          <w:szCs w:val="44"/>
        </w:rPr>
      </w:pPr>
      <w:r>
        <w:rPr>
          <w:rFonts w:ascii="黑体" w:hAnsi="黑体" w:eastAsia="黑体" w:cs="宋体"/>
          <w:kern w:val="0"/>
          <w:sz w:val="44"/>
          <w:szCs w:val="44"/>
        </w:rPr>
        <w:t>环网光纤敷设</w:t>
      </w:r>
      <w:r>
        <w:rPr>
          <w:rFonts w:hint="eastAsia" w:ascii="黑体" w:hAnsi="黑体" w:eastAsia="黑体" w:cs="宋体"/>
          <w:kern w:val="0"/>
          <w:sz w:val="44"/>
          <w:szCs w:val="44"/>
        </w:rPr>
        <w:t>公开</w:t>
      </w:r>
      <w:r>
        <w:rPr>
          <w:rFonts w:hint="eastAsia" w:ascii="黑体" w:hAnsi="黑体" w:eastAsia="黑体" w:cs="宋体"/>
          <w:kern w:val="0"/>
          <w:sz w:val="44"/>
          <w:szCs w:val="44"/>
          <w:lang w:val="en-US" w:eastAsia="zh-CN"/>
        </w:rPr>
        <w:t>询比价</w:t>
      </w:r>
      <w:r>
        <w:rPr>
          <w:rFonts w:hint="eastAsia" w:ascii="黑体" w:hAnsi="黑体" w:eastAsia="黑体" w:cs="宋体"/>
          <w:kern w:val="0"/>
          <w:sz w:val="44"/>
          <w:szCs w:val="44"/>
        </w:rPr>
        <w:t>公告</w:t>
      </w:r>
    </w:p>
    <w:p>
      <w:pPr>
        <w:widowControl/>
        <w:jc w:val="center"/>
        <w:rPr>
          <w:rFonts w:ascii="宋体" w:hAnsi="宋体" w:eastAsia="宋体" w:cs="宋体"/>
          <w:kern w:val="0"/>
          <w:sz w:val="24"/>
          <w:szCs w:val="44"/>
        </w:rPr>
      </w:pPr>
    </w:p>
    <w:p>
      <w:pPr>
        <w:widowControl/>
        <w:spacing w:line="300" w:lineRule="auto"/>
        <w:ind w:firstLine="480" w:firstLineChars="200"/>
        <w:rPr>
          <w:rFonts w:ascii="宋体" w:hAnsi="宋体" w:eastAsia="宋体" w:cs="宋体"/>
          <w:kern w:val="0"/>
          <w:sz w:val="24"/>
          <w:szCs w:val="21"/>
        </w:rPr>
      </w:pPr>
      <w:r>
        <w:rPr>
          <w:rFonts w:hint="eastAsia" w:ascii="宋体" w:hAnsi="宋体" w:eastAsia="宋体" w:cs="宋体"/>
          <w:kern w:val="0"/>
          <w:sz w:val="24"/>
          <w:szCs w:val="21"/>
        </w:rPr>
        <w:t>中石化石油物探技术研究院有限公司科研生产部现组织</w:t>
      </w:r>
      <w:r>
        <w:rPr>
          <w:rFonts w:ascii="宋体" w:hAnsi="宋体" w:eastAsia="宋体" w:cs="宋体"/>
          <w:kern w:val="0"/>
          <w:sz w:val="24"/>
          <w:szCs w:val="21"/>
        </w:rPr>
        <w:t>2024年中石化物探院算力中心</w:t>
      </w:r>
      <w:r>
        <w:rPr>
          <w:rFonts w:hint="eastAsia" w:ascii="宋体" w:hAnsi="宋体" w:eastAsia="宋体" w:cs="宋体"/>
          <w:kern w:val="0"/>
          <w:sz w:val="24"/>
          <w:szCs w:val="21"/>
        </w:rPr>
        <w:t>环网光纤敷设公告公开竞争性谈判，请符合条件的服务商报名参加。</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一、服务项目</w:t>
      </w:r>
    </w:p>
    <w:p>
      <w:pPr>
        <w:widowControl/>
        <w:spacing w:line="300" w:lineRule="auto"/>
        <w:ind w:firstLine="482" w:firstLineChars="200"/>
        <w:rPr>
          <w:rFonts w:ascii="宋体" w:hAnsi="宋体" w:eastAsia="宋体" w:cs="宋体"/>
          <w:kern w:val="0"/>
          <w:sz w:val="24"/>
          <w:szCs w:val="21"/>
        </w:rPr>
      </w:pPr>
      <w:r>
        <w:rPr>
          <w:rFonts w:hint="eastAsia" w:ascii="宋体" w:hAnsi="宋体" w:eastAsia="宋体" w:cs="宋体"/>
          <w:b/>
          <w:bCs/>
          <w:kern w:val="0"/>
          <w:sz w:val="24"/>
          <w:szCs w:val="21"/>
        </w:rPr>
        <w:t>项目名称：</w:t>
      </w:r>
      <w:r>
        <w:rPr>
          <w:rFonts w:ascii="宋体" w:hAnsi="宋体" w:eastAsia="宋体" w:cs="宋体"/>
          <w:kern w:val="0"/>
          <w:sz w:val="24"/>
          <w:szCs w:val="21"/>
        </w:rPr>
        <w:t>2024年中石化物探院算力中心</w:t>
      </w:r>
      <w:r>
        <w:rPr>
          <w:rFonts w:hint="eastAsia" w:ascii="宋体" w:hAnsi="宋体" w:eastAsia="宋体" w:cs="宋体"/>
          <w:kern w:val="0"/>
          <w:sz w:val="24"/>
          <w:szCs w:val="21"/>
        </w:rPr>
        <w:t>环网光纤敷设</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项目联系人：</w:t>
      </w:r>
      <w:r>
        <w:rPr>
          <w:rFonts w:hint="eastAsia" w:ascii="宋体" w:hAnsi="宋体" w:eastAsia="宋体" w:cs="宋体"/>
          <w:kern w:val="0"/>
          <w:sz w:val="24"/>
          <w:szCs w:val="21"/>
        </w:rPr>
        <w:t>李进</w:t>
      </w:r>
    </w:p>
    <w:p>
      <w:pPr>
        <w:widowControl/>
        <w:spacing w:line="300" w:lineRule="auto"/>
        <w:ind w:firstLine="482" w:firstLineChars="200"/>
        <w:rPr>
          <w:rFonts w:ascii="宋体" w:hAnsi="宋体" w:eastAsia="宋体" w:cs="宋体"/>
          <w:kern w:val="0"/>
          <w:sz w:val="24"/>
          <w:szCs w:val="21"/>
        </w:rPr>
      </w:pPr>
      <w:r>
        <w:rPr>
          <w:rFonts w:hint="eastAsia" w:ascii="宋体" w:hAnsi="宋体" w:eastAsia="宋体" w:cs="宋体"/>
          <w:b/>
          <w:bCs/>
          <w:kern w:val="0"/>
          <w:sz w:val="24"/>
          <w:szCs w:val="21"/>
        </w:rPr>
        <w:t>项目联系电话：</w:t>
      </w:r>
      <w:r>
        <w:rPr>
          <w:rFonts w:hint="eastAsia" w:ascii="宋体" w:hAnsi="宋体" w:eastAsia="宋体" w:cs="宋体"/>
          <w:kern w:val="0"/>
          <w:sz w:val="24"/>
          <w:szCs w:val="21"/>
        </w:rPr>
        <w:t>68109</w:t>
      </w:r>
      <w:r>
        <w:rPr>
          <w:rFonts w:ascii="宋体" w:hAnsi="宋体" w:eastAsia="宋体" w:cs="宋体"/>
          <w:kern w:val="0"/>
          <w:sz w:val="24"/>
          <w:szCs w:val="21"/>
        </w:rPr>
        <w:t>86</w:t>
      </w:r>
      <w:r>
        <w:rPr>
          <w:rFonts w:hint="eastAsia" w:ascii="宋体" w:hAnsi="宋体" w:eastAsia="宋体" w:cs="宋体"/>
          <w:kern w:val="0"/>
          <w:sz w:val="24"/>
          <w:szCs w:val="21"/>
        </w:rPr>
        <w:t>0</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需求单位：</w:t>
      </w:r>
      <w:r>
        <w:rPr>
          <w:rFonts w:hint="eastAsia" w:ascii="宋体" w:hAnsi="宋体" w:eastAsia="宋体" w:cs="宋体"/>
          <w:kern w:val="0"/>
          <w:sz w:val="24"/>
          <w:szCs w:val="21"/>
        </w:rPr>
        <w:t>地球物理信息中心</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地址：</w:t>
      </w:r>
      <w:r>
        <w:rPr>
          <w:rFonts w:hint="eastAsia" w:ascii="宋体" w:hAnsi="宋体" w:eastAsia="宋体" w:cs="宋体"/>
          <w:kern w:val="0"/>
          <w:sz w:val="24"/>
          <w:szCs w:val="21"/>
        </w:rPr>
        <w:t>南京市江宁区上高路219号</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组织机构：</w:t>
      </w:r>
      <w:r>
        <w:rPr>
          <w:rFonts w:hint="eastAsia" w:ascii="宋体" w:hAnsi="宋体" w:eastAsia="宋体" w:cs="宋体"/>
          <w:bCs/>
          <w:kern w:val="0"/>
          <w:sz w:val="24"/>
          <w:szCs w:val="21"/>
        </w:rPr>
        <w:t>科研生产部</w:t>
      </w:r>
    </w:p>
    <w:p>
      <w:pPr>
        <w:widowControl/>
        <w:spacing w:line="300" w:lineRule="auto"/>
        <w:ind w:firstLine="482" w:firstLineChars="200"/>
        <w:rPr>
          <w:rFonts w:ascii="宋体" w:hAnsi="宋体" w:eastAsia="宋体" w:cs="宋体"/>
          <w:kern w:val="0"/>
          <w:sz w:val="24"/>
          <w:szCs w:val="21"/>
        </w:rPr>
      </w:pPr>
      <w:r>
        <w:rPr>
          <w:rFonts w:hint="eastAsia" w:ascii="宋体" w:hAnsi="宋体" w:eastAsia="宋体" w:cs="宋体"/>
          <w:b/>
          <w:bCs/>
          <w:kern w:val="0"/>
          <w:sz w:val="24"/>
          <w:szCs w:val="21"/>
        </w:rPr>
        <w:t>组织机构联系人：</w:t>
      </w:r>
      <w:r>
        <w:rPr>
          <w:rFonts w:hint="eastAsia" w:ascii="宋体" w:hAnsi="宋体" w:eastAsia="宋体" w:cs="宋体"/>
          <w:bCs/>
          <w:kern w:val="0"/>
          <w:sz w:val="24"/>
          <w:szCs w:val="21"/>
        </w:rPr>
        <w:t>周中彪</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组织机构联系方式：</w:t>
      </w:r>
      <w:r>
        <w:rPr>
          <w:rFonts w:hint="eastAsia" w:ascii="宋体" w:hAnsi="宋体" w:eastAsia="宋体" w:cs="宋体"/>
          <w:kern w:val="0"/>
          <w:sz w:val="24"/>
          <w:szCs w:val="21"/>
        </w:rPr>
        <w:t>68109</w:t>
      </w:r>
      <w:r>
        <w:rPr>
          <w:rFonts w:ascii="宋体" w:hAnsi="宋体" w:eastAsia="宋体" w:cs="宋体"/>
          <w:kern w:val="0"/>
          <w:sz w:val="24"/>
          <w:szCs w:val="21"/>
        </w:rPr>
        <w:t>789</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商务谈判地址：</w:t>
      </w:r>
      <w:r>
        <w:rPr>
          <w:rFonts w:hint="eastAsia" w:ascii="宋体" w:hAnsi="宋体" w:eastAsia="宋体" w:cs="宋体"/>
          <w:kern w:val="0"/>
          <w:sz w:val="24"/>
          <w:szCs w:val="21"/>
        </w:rPr>
        <w:t>南京市江宁区上高路219号综合楼</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一、基本概况介绍</w:t>
      </w:r>
    </w:p>
    <w:p>
      <w:pPr>
        <w:widowControl/>
        <w:spacing w:line="360" w:lineRule="auto"/>
        <w:rPr>
          <w:rFonts w:hint="eastAsia" w:ascii="黑体" w:hAnsi="黑体" w:eastAsia="黑体" w:cs="宋体"/>
          <w:b/>
          <w:bCs/>
          <w:kern w:val="0"/>
          <w:sz w:val="32"/>
          <w:szCs w:val="21"/>
        </w:rPr>
      </w:pPr>
      <w:r>
        <w:rPr>
          <w:rFonts w:hint="eastAsia" w:ascii="黑体" w:hAnsi="黑体" w:eastAsia="黑体" w:cs="宋体"/>
          <w:b/>
          <w:bCs/>
          <w:kern w:val="0"/>
          <w:sz w:val="32"/>
          <w:szCs w:val="21"/>
        </w:rPr>
        <w:t>1、技术要求</w:t>
      </w:r>
    </w:p>
    <w:tbl>
      <w:tblPr>
        <w:tblStyle w:val="6"/>
        <w:tblW w:w="8781" w:type="dxa"/>
        <w:tblInd w:w="0" w:type="dxa"/>
        <w:tblLayout w:type="autofit"/>
        <w:tblCellMar>
          <w:top w:w="0" w:type="dxa"/>
          <w:left w:w="0" w:type="dxa"/>
          <w:bottom w:w="0" w:type="dxa"/>
          <w:right w:w="0" w:type="dxa"/>
        </w:tblCellMar>
      </w:tblPr>
      <w:tblGrid>
        <w:gridCol w:w="843"/>
        <w:gridCol w:w="1417"/>
        <w:gridCol w:w="5670"/>
        <w:gridCol w:w="851"/>
      </w:tblGrid>
      <w:tr>
        <w:tblPrEx>
          <w:tblCellMar>
            <w:top w:w="0" w:type="dxa"/>
            <w:left w:w="0" w:type="dxa"/>
            <w:bottom w:w="0" w:type="dxa"/>
            <w:right w:w="0" w:type="dxa"/>
          </w:tblCellMar>
        </w:tblPrEx>
        <w:trPr>
          <w:trHeight w:val="314" w:hRule="atLeast"/>
        </w:trPr>
        <w:tc>
          <w:tcPr>
            <w:tcW w:w="8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黑体" w:hAnsi="黑体" w:eastAsia="黑体" w:cs="宋体"/>
                <w:b/>
                <w:kern w:val="0"/>
                <w:sz w:val="24"/>
                <w:szCs w:val="24"/>
              </w:rPr>
            </w:pPr>
            <w:r>
              <w:rPr>
                <w:rFonts w:hint="eastAsia" w:ascii="黑体" w:hAnsi="黑体" w:eastAsia="黑体" w:cs="宋体"/>
                <w:b/>
                <w:kern w:val="0"/>
                <w:szCs w:val="21"/>
              </w:rPr>
              <w:t>合同包</w:t>
            </w:r>
          </w:p>
        </w:tc>
        <w:tc>
          <w:tcPr>
            <w:tcW w:w="14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黑体" w:hAnsi="黑体" w:eastAsia="黑体" w:cs="宋体"/>
                <w:b/>
                <w:kern w:val="0"/>
                <w:sz w:val="24"/>
                <w:szCs w:val="24"/>
              </w:rPr>
            </w:pPr>
            <w:r>
              <w:rPr>
                <w:rFonts w:hint="eastAsia" w:ascii="黑体" w:hAnsi="黑体" w:eastAsia="黑体" w:cs="宋体"/>
                <w:b/>
                <w:kern w:val="0"/>
                <w:szCs w:val="21"/>
              </w:rPr>
              <w:t>项目名称</w:t>
            </w:r>
          </w:p>
        </w:tc>
        <w:tc>
          <w:tcPr>
            <w:tcW w:w="56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黑体" w:hAnsi="黑体" w:eastAsia="黑体" w:cs="宋体"/>
                <w:b/>
                <w:kern w:val="0"/>
                <w:sz w:val="24"/>
                <w:szCs w:val="24"/>
              </w:rPr>
            </w:pPr>
            <w:r>
              <w:rPr>
                <w:rFonts w:hint="eastAsia" w:ascii="黑体" w:hAnsi="黑体" w:eastAsia="黑体" w:cs="宋体"/>
                <w:b/>
                <w:kern w:val="0"/>
                <w:szCs w:val="21"/>
              </w:rPr>
              <w:t>技术和服务要求</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黑体" w:hAnsi="黑体" w:eastAsia="黑体" w:cs="宋体"/>
                <w:b/>
                <w:kern w:val="0"/>
                <w:sz w:val="24"/>
                <w:szCs w:val="24"/>
              </w:rPr>
            </w:pPr>
            <w:r>
              <w:rPr>
                <w:rFonts w:hint="eastAsia" w:ascii="黑体" w:hAnsi="黑体" w:eastAsia="黑体" w:cs="宋体"/>
                <w:b/>
                <w:kern w:val="0"/>
                <w:szCs w:val="21"/>
              </w:rPr>
              <w:t>备注</w:t>
            </w:r>
          </w:p>
        </w:tc>
      </w:tr>
      <w:tr>
        <w:tblPrEx>
          <w:tblCellMar>
            <w:top w:w="0" w:type="dxa"/>
            <w:left w:w="0" w:type="dxa"/>
            <w:bottom w:w="0" w:type="dxa"/>
            <w:right w:w="0" w:type="dxa"/>
          </w:tblCellMar>
        </w:tblPrEx>
        <w:trPr>
          <w:trHeight w:val="908" w:hRule="atLeast"/>
        </w:trPr>
        <w:tc>
          <w:tcPr>
            <w:tcW w:w="8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宋体" w:hAnsi="宋体" w:eastAsia="宋体" w:cs="宋体"/>
                <w:kern w:val="0"/>
                <w:sz w:val="24"/>
                <w:szCs w:val="24"/>
              </w:rPr>
            </w:pPr>
            <w:r>
              <w:rPr>
                <w:rFonts w:hint="eastAsia" w:ascii="宋体" w:hAnsi="宋体" w:eastAsia="宋体" w:cs="宋体"/>
                <w:kern w:val="0"/>
                <w:szCs w:val="21"/>
              </w:rPr>
              <w:t>1</w:t>
            </w:r>
          </w:p>
        </w:tc>
        <w:tc>
          <w:tcPr>
            <w:tcW w:w="14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宋体" w:hAnsi="宋体" w:eastAsia="宋体" w:cs="宋体"/>
                <w:kern w:val="0"/>
                <w:sz w:val="24"/>
                <w:szCs w:val="24"/>
              </w:rPr>
            </w:pPr>
            <w:r>
              <w:rPr>
                <w:rFonts w:ascii="宋体" w:hAnsi="宋体" w:eastAsia="宋体" w:cs="宋体"/>
                <w:kern w:val="0"/>
                <w:sz w:val="24"/>
                <w:szCs w:val="21"/>
              </w:rPr>
              <w:t>2024年中石化物探院算力中心</w:t>
            </w:r>
            <w:r>
              <w:rPr>
                <w:rFonts w:hint="eastAsia" w:ascii="宋体" w:hAnsi="宋体" w:eastAsia="宋体" w:cs="宋体"/>
                <w:kern w:val="0"/>
                <w:sz w:val="24"/>
                <w:szCs w:val="21"/>
              </w:rPr>
              <w:t>环网光纤敷设</w:t>
            </w:r>
          </w:p>
        </w:tc>
        <w:tc>
          <w:tcPr>
            <w:tcW w:w="567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1）地点：南京市江宁区上高路219号；</w:t>
            </w:r>
          </w:p>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2）位置：7号楼二楼（总部数据中心）到5号楼（算力中心南京）；</w:t>
            </w:r>
          </w:p>
          <w:p>
            <w:pPr>
              <w:widowControl/>
              <w:adjustRightInd w:val="0"/>
              <w:snapToGrid w:val="0"/>
              <w:jc w:val="left"/>
              <w:rPr>
                <w:rFonts w:hint="eastAsia" w:ascii="宋体" w:hAnsi="宋体" w:eastAsia="宋体" w:cs="宋体"/>
                <w:kern w:val="0"/>
                <w:sz w:val="20"/>
                <w:szCs w:val="20"/>
              </w:rPr>
            </w:pPr>
            <w:r>
              <w:rPr>
                <w:rFonts w:hint="eastAsia" w:ascii="宋体" w:hAnsi="宋体" w:eastAsia="宋体" w:cs="宋体"/>
                <w:kern w:val="0"/>
                <w:sz w:val="20"/>
                <w:szCs w:val="20"/>
              </w:rPr>
              <w:t>3）用途：2条光纤为区域中心使用，2条光纤为算力中心使用。</w:t>
            </w:r>
          </w:p>
        </w:tc>
        <w:tc>
          <w:tcPr>
            <w:tcW w:w="851"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宋体" w:hAnsi="宋体" w:eastAsia="宋体" w:cs="宋体"/>
                <w:kern w:val="0"/>
                <w:sz w:val="24"/>
                <w:szCs w:val="24"/>
              </w:rPr>
            </w:pPr>
          </w:p>
        </w:tc>
      </w:tr>
    </w:tbl>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2、业务清单（工作量）</w:t>
      </w:r>
    </w:p>
    <w:tbl>
      <w:tblPr>
        <w:tblStyle w:val="6"/>
        <w:tblW w:w="8926" w:type="dxa"/>
        <w:tblInd w:w="0" w:type="dxa"/>
        <w:tblLayout w:type="fixed"/>
        <w:tblCellMar>
          <w:top w:w="0" w:type="dxa"/>
          <w:left w:w="108" w:type="dxa"/>
          <w:bottom w:w="0" w:type="dxa"/>
          <w:right w:w="108" w:type="dxa"/>
        </w:tblCellMar>
      </w:tblPr>
      <w:tblGrid>
        <w:gridCol w:w="845"/>
        <w:gridCol w:w="1557"/>
        <w:gridCol w:w="2271"/>
        <w:gridCol w:w="1134"/>
        <w:gridCol w:w="851"/>
        <w:gridCol w:w="1134"/>
        <w:gridCol w:w="1134"/>
      </w:tblGrid>
      <w:tr>
        <w:tblPrEx>
          <w:tblCellMar>
            <w:top w:w="0" w:type="dxa"/>
            <w:left w:w="108" w:type="dxa"/>
            <w:bottom w:w="0" w:type="dxa"/>
            <w:right w:w="108" w:type="dxa"/>
          </w:tblCellMar>
        </w:tblPrEx>
        <w:trPr>
          <w:trHeight w:val="40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序号</w:t>
            </w:r>
          </w:p>
        </w:tc>
        <w:tc>
          <w:tcPr>
            <w:tcW w:w="15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项目名称</w:t>
            </w:r>
          </w:p>
        </w:tc>
        <w:tc>
          <w:tcPr>
            <w:tcW w:w="2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项目特征描述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计量单位</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工程量</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金额(元)</w:t>
            </w:r>
          </w:p>
        </w:tc>
      </w:tr>
      <w:tr>
        <w:tblPrEx>
          <w:tblCellMar>
            <w:top w:w="0" w:type="dxa"/>
            <w:left w:w="108" w:type="dxa"/>
            <w:bottom w:w="0" w:type="dxa"/>
            <w:right w:w="108" w:type="dxa"/>
          </w:tblCellMar>
        </w:tblPrEx>
        <w:trPr>
          <w:trHeight w:val="35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
                <w:bCs/>
                <w:color w:val="000000"/>
                <w:kern w:val="0"/>
                <w:sz w:val="20"/>
                <w:szCs w:val="20"/>
              </w:rPr>
            </w:pPr>
          </w:p>
        </w:tc>
        <w:tc>
          <w:tcPr>
            <w:tcW w:w="15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
                <w:bCs/>
                <w:color w:val="000000"/>
                <w:kern w:val="0"/>
                <w:sz w:val="20"/>
                <w:szCs w:val="20"/>
              </w:rPr>
            </w:pPr>
          </w:p>
        </w:tc>
        <w:tc>
          <w:tcPr>
            <w:tcW w:w="2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
                <w:bCs/>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
                <w:bCs/>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
                <w:bCs/>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综合单价</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合价</w:t>
            </w:r>
          </w:p>
        </w:tc>
      </w:tr>
      <w:tr>
        <w:tblPrEx>
          <w:tblCellMar>
            <w:top w:w="0" w:type="dxa"/>
            <w:left w:w="108" w:type="dxa"/>
            <w:bottom w:w="0" w:type="dxa"/>
            <w:right w:w="108" w:type="dxa"/>
          </w:tblCellMar>
        </w:tblPrEx>
        <w:trPr>
          <w:trHeight w:val="338"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
                <w:bCs/>
                <w:color w:val="000000"/>
                <w:kern w:val="0"/>
                <w:sz w:val="20"/>
                <w:szCs w:val="20"/>
              </w:rPr>
            </w:pPr>
          </w:p>
        </w:tc>
        <w:tc>
          <w:tcPr>
            <w:tcW w:w="15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
                <w:bCs/>
                <w:color w:val="000000"/>
                <w:kern w:val="0"/>
                <w:sz w:val="20"/>
                <w:szCs w:val="20"/>
              </w:rPr>
            </w:pPr>
          </w:p>
        </w:tc>
        <w:tc>
          <w:tcPr>
            <w:tcW w:w="2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
                <w:bCs/>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
                <w:bCs/>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
                <w:bCs/>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b/>
                <w:bCs/>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b/>
                <w:bCs/>
                <w:color w:val="000000"/>
                <w:kern w:val="0"/>
                <w:sz w:val="20"/>
                <w:szCs w:val="20"/>
              </w:rPr>
            </w:pPr>
          </w:p>
        </w:tc>
      </w:tr>
      <w:tr>
        <w:tblPrEx>
          <w:tblCellMar>
            <w:top w:w="0" w:type="dxa"/>
            <w:left w:w="108" w:type="dxa"/>
            <w:bottom w:w="0" w:type="dxa"/>
            <w:right w:w="108" w:type="dxa"/>
          </w:tblCellMar>
        </w:tblPrEx>
        <w:trPr>
          <w:trHeight w:val="533" w:hRule="atLeast"/>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管/暗槽内穿放光缆24芯</w:t>
            </w:r>
          </w:p>
        </w:tc>
        <w:tc>
          <w:tcPr>
            <w:tcW w:w="227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7号楼至5号楼室外地线管线光缆敷设</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600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r>
      <w:tr>
        <w:tblPrEx>
          <w:tblCellMar>
            <w:top w:w="0" w:type="dxa"/>
            <w:left w:w="108" w:type="dxa"/>
            <w:bottom w:w="0" w:type="dxa"/>
            <w:right w:w="108" w:type="dxa"/>
          </w:tblCellMar>
        </w:tblPrEx>
        <w:trPr>
          <w:trHeight w:val="800" w:hRule="atLeast"/>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线槽/桥架/支架/活动地板内明放光缆24芯</w:t>
            </w:r>
          </w:p>
        </w:tc>
        <w:tc>
          <w:tcPr>
            <w:tcW w:w="227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7号楼至5号楼室内天花板上光缆敷设</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2000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r>
      <w:tr>
        <w:tblPrEx>
          <w:tblCellMar>
            <w:top w:w="0" w:type="dxa"/>
            <w:left w:w="108" w:type="dxa"/>
            <w:bottom w:w="0" w:type="dxa"/>
            <w:right w:w="108" w:type="dxa"/>
          </w:tblCellMar>
        </w:tblPrEx>
        <w:trPr>
          <w:trHeight w:val="860" w:hRule="atLeast"/>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布放光缆护套</w:t>
            </w:r>
          </w:p>
        </w:tc>
        <w:tc>
          <w:tcPr>
            <w:tcW w:w="227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7号楼至5号楼室内天花板上光缆保护套管敷设Φ25PVC管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2000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r>
      <w:tr>
        <w:tblPrEx>
          <w:tblCellMar>
            <w:top w:w="0" w:type="dxa"/>
            <w:left w:w="108" w:type="dxa"/>
            <w:bottom w:w="0" w:type="dxa"/>
            <w:right w:w="108" w:type="dxa"/>
          </w:tblCellMar>
        </w:tblPrEx>
        <w:trPr>
          <w:trHeight w:val="353" w:hRule="atLeast"/>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24芯单模光缆</w:t>
            </w:r>
          </w:p>
        </w:tc>
        <w:tc>
          <w:tcPr>
            <w:tcW w:w="227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GYTA-24B1.3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2600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r>
      <w:tr>
        <w:tblPrEx>
          <w:tblCellMar>
            <w:top w:w="0" w:type="dxa"/>
            <w:left w:w="108" w:type="dxa"/>
            <w:bottom w:w="0" w:type="dxa"/>
            <w:right w:w="108" w:type="dxa"/>
          </w:tblCellMar>
        </w:tblPrEx>
        <w:trPr>
          <w:trHeight w:val="520" w:hRule="atLeast"/>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光缆护套</w:t>
            </w:r>
          </w:p>
        </w:tc>
        <w:tc>
          <w:tcPr>
            <w:tcW w:w="227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Φ25PVC管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2000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r>
      <w:tr>
        <w:tblPrEx>
          <w:tblCellMar>
            <w:top w:w="0" w:type="dxa"/>
            <w:left w:w="108" w:type="dxa"/>
            <w:bottom w:w="0" w:type="dxa"/>
            <w:right w:w="108" w:type="dxa"/>
          </w:tblCellMar>
        </w:tblPrEx>
        <w:trPr>
          <w:trHeight w:val="533" w:hRule="atLeast"/>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6</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光纤连接 熔接法单模</w:t>
            </w:r>
          </w:p>
        </w:tc>
        <w:tc>
          <w:tcPr>
            <w:tcW w:w="227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r>
      <w:tr>
        <w:tblPrEx>
          <w:tblCellMar>
            <w:top w:w="0" w:type="dxa"/>
            <w:left w:w="108" w:type="dxa"/>
            <w:bottom w:w="0" w:type="dxa"/>
            <w:right w:w="108" w:type="dxa"/>
          </w:tblCellMar>
        </w:tblPrEx>
        <w:trPr>
          <w:trHeight w:val="755" w:hRule="atLeast"/>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综合集装架配件-一体化ODU-24芯</w:t>
            </w:r>
          </w:p>
        </w:tc>
        <w:tc>
          <w:tcPr>
            <w:tcW w:w="227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一体式ODU光纤熔接盘</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r>
      <w:tr>
        <w:tblPrEx>
          <w:tblCellMar>
            <w:top w:w="0" w:type="dxa"/>
            <w:left w:w="108" w:type="dxa"/>
            <w:bottom w:w="0" w:type="dxa"/>
            <w:right w:w="108" w:type="dxa"/>
          </w:tblCellMar>
        </w:tblPrEx>
        <w:trPr>
          <w:trHeight w:val="518" w:hRule="atLeast"/>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8</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光纤测试</w:t>
            </w:r>
          </w:p>
        </w:tc>
        <w:tc>
          <w:tcPr>
            <w:tcW w:w="227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ODTR光纤测试报告</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链路(芯)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r>
      <w:tr>
        <w:tblPrEx>
          <w:tblCellMar>
            <w:top w:w="0" w:type="dxa"/>
            <w:left w:w="108" w:type="dxa"/>
            <w:bottom w:w="0" w:type="dxa"/>
            <w:right w:w="108" w:type="dxa"/>
          </w:tblCellMar>
        </w:tblPrEx>
        <w:trPr>
          <w:trHeight w:val="353" w:hRule="atLeast"/>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辅材</w:t>
            </w:r>
          </w:p>
        </w:tc>
        <w:tc>
          <w:tcPr>
            <w:tcW w:w="227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熔纤热缩管、管卡、扎带、色带等</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rPr>
            </w:pPr>
          </w:p>
        </w:tc>
      </w:tr>
      <w:tr>
        <w:tblPrEx>
          <w:tblCellMar>
            <w:top w:w="0" w:type="dxa"/>
            <w:left w:w="108" w:type="dxa"/>
            <w:bottom w:w="0" w:type="dxa"/>
            <w:right w:w="108" w:type="dxa"/>
          </w:tblCellMar>
        </w:tblPrEx>
        <w:trPr>
          <w:trHeight w:val="640" w:hRule="atLeast"/>
        </w:trPr>
        <w:tc>
          <w:tcPr>
            <w:tcW w:w="66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合计</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b/>
                <w:bCs/>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b/>
                <w:bCs/>
                <w:color w:val="000000"/>
                <w:kern w:val="0"/>
                <w:sz w:val="20"/>
                <w:szCs w:val="20"/>
              </w:rPr>
            </w:pPr>
          </w:p>
        </w:tc>
      </w:tr>
    </w:tbl>
    <w:p>
      <w:pPr>
        <w:widowControl/>
        <w:spacing w:line="360" w:lineRule="auto"/>
        <w:rPr>
          <w:rFonts w:hint="eastAsia" w:ascii="黑体" w:hAnsi="黑体" w:eastAsia="黑体" w:cs="宋体"/>
          <w:kern w:val="0"/>
          <w:sz w:val="40"/>
          <w:szCs w:val="24"/>
        </w:rPr>
      </w:pP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二、服务商的资格要求</w:t>
      </w:r>
    </w:p>
    <w:p>
      <w:pPr>
        <w:widowControl/>
        <w:adjustRightInd w:val="0"/>
        <w:snapToGrid w:val="0"/>
        <w:spacing w:line="300" w:lineRule="auto"/>
        <w:ind w:firstLine="560" w:firstLineChars="200"/>
        <w:rPr>
          <w:rFonts w:ascii="黑体" w:hAnsi="黑体" w:eastAsia="黑体" w:cs="宋体"/>
          <w:kern w:val="0"/>
          <w:sz w:val="28"/>
          <w:szCs w:val="21"/>
          <w:shd w:val="clear" w:color="auto" w:fill="FFFFFF"/>
        </w:rPr>
      </w:pPr>
      <w:r>
        <w:rPr>
          <w:rFonts w:hint="eastAsia" w:ascii="黑体" w:hAnsi="黑体" w:eastAsia="黑体" w:cs="宋体"/>
          <w:kern w:val="0"/>
          <w:sz w:val="28"/>
          <w:szCs w:val="21"/>
          <w:shd w:val="clear" w:color="auto" w:fill="FFFFFF"/>
        </w:rPr>
        <w:t>（一）一般资格条件</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服务商应遵守法律、行政法规规定的相关条件，具有独立承担民事责任的能力、良好的商业信誉和健全的财务会计制度，有依法缴纳税收和社会保障资金的良好记录，参加本次采购活动前三年内，在经营活动中没有重大违法记录。按要求提供相关证明文件：</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1、描述单位负责人授权书（若有）</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（1）“单位负责人”指法定代表人，即与实际提交的“营业执照等证明文件”载明的一致。</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（2）服务商：若服务商代表为单位负责人授权的委托代理人，应提供本授权书；若服务商代表为单位负责人，应在此项下提交其身份证正反面复印件，可不提供本授权书。</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（3）纸质投标文件正本中的本授权书（若有）应为原件。</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 xml:space="preserve">2、服务商应营业执照证明文件及资质证书等 </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（1）服务商应为有能力提供本商务谈判文件所述设备及服务的，具有法人资格的境内服务商，提供有效的《营业执照》等资质证书复印件。</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（2）服务商提供的相应证明材料复印件均应符合：内容真实、全面、完整，完全符合国家要求的法定经营条件，并由服务商加盖其单位公章。</w:t>
      </w:r>
    </w:p>
    <w:p>
      <w:pPr>
        <w:widowControl/>
        <w:adjustRightInd w:val="0"/>
        <w:snapToGrid w:val="0"/>
        <w:spacing w:line="300" w:lineRule="auto"/>
        <w:ind w:firstLine="480" w:firstLineChars="200"/>
        <w:rPr>
          <w:rFonts w:ascii="宋体" w:hAnsi="宋体" w:eastAsia="宋体" w:cs="宋体"/>
          <w:kern w:val="0"/>
          <w:sz w:val="24"/>
          <w:szCs w:val="24"/>
        </w:rPr>
      </w:pPr>
      <w:r>
        <w:rPr>
          <w:rFonts w:ascii="宋体" w:hAnsi="宋体" w:eastAsia="宋体" w:cs="宋体"/>
          <w:kern w:val="0"/>
          <w:sz w:val="24"/>
          <w:szCs w:val="24"/>
          <w:shd w:val="clear" w:color="auto" w:fill="FFFFFF"/>
        </w:rPr>
        <w:t>3</w:t>
      </w:r>
      <w:r>
        <w:rPr>
          <w:rFonts w:hint="eastAsia" w:ascii="宋体" w:hAnsi="宋体" w:eastAsia="宋体" w:cs="宋体"/>
          <w:kern w:val="0"/>
          <w:sz w:val="24"/>
          <w:szCs w:val="24"/>
          <w:shd w:val="clear" w:color="auto" w:fill="FFFFFF"/>
        </w:rPr>
        <w:t>、服务商应提供参加采购活动前三年内在经营活动中没有重大违法记录及无行贿犯罪记录书面声明。</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（1）“重大违法记录”指服务商因违法经营受到刑事处罚或责令停产停业、吊销许可证或执照、较大数额罚款等行政处罚。</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（2）应对近三年无行贿犯罪记录进行声明。</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（3）纸质投标文件正本中的本声明应为原件。</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7、服务商应提供信用记录查询结果：服务商应在招标文件要求的截止时点前通过“国家企业信用信息公示系统”网站（http://www.gsxt.gov.cn/）查询并打印相应的信用记录，服务商提供的查询结果应为其通过上述网站获取的信用信息查询结果原始页面的打印件（或截图）。</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8、服务商应提供本文未提且必须出具的其他文件。</w:t>
      </w:r>
    </w:p>
    <w:p>
      <w:pPr>
        <w:widowControl/>
        <w:adjustRightInd w:val="0"/>
        <w:snapToGrid w:val="0"/>
        <w:spacing w:line="300" w:lineRule="auto"/>
        <w:ind w:firstLine="560" w:firstLineChars="200"/>
        <w:rPr>
          <w:rFonts w:ascii="黑体" w:hAnsi="黑体" w:eastAsia="黑体" w:cs="宋体"/>
          <w:kern w:val="0"/>
          <w:sz w:val="28"/>
          <w:szCs w:val="21"/>
          <w:shd w:val="clear" w:color="auto" w:fill="FFFFFF"/>
        </w:rPr>
      </w:pPr>
      <w:r>
        <w:rPr>
          <w:rFonts w:hint="eastAsia" w:ascii="黑体" w:hAnsi="黑体" w:eastAsia="黑体" w:cs="宋体"/>
          <w:kern w:val="0"/>
          <w:sz w:val="28"/>
          <w:szCs w:val="21"/>
          <w:shd w:val="clear" w:color="auto" w:fill="FFFFFF"/>
        </w:rPr>
        <w:t>（二）其他资格条件</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1、服务商应具有履行合同所必需的设备和专业技术能力，提供相关证明文件。</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w:t>
      </w:r>
      <w:r>
        <w:rPr>
          <w:rFonts w:hint="eastAsia" w:ascii="宋体" w:hAnsi="宋体" w:eastAsia="宋体" w:cs="宋体"/>
          <w:kern w:val="0"/>
          <w:sz w:val="24"/>
          <w:szCs w:val="21"/>
          <w:shd w:val="clear" w:color="auto" w:fill="FFFFFF"/>
        </w:rPr>
        <w:t>、服务商应具备完善的管理制度和运维保障能力（提供承诺书原件）；</w:t>
      </w:r>
    </w:p>
    <w:p>
      <w:pPr>
        <w:widowControl/>
        <w:adjustRightInd w:val="0"/>
        <w:snapToGrid w:val="0"/>
        <w:spacing w:line="300" w:lineRule="auto"/>
        <w:ind w:firstLine="560" w:firstLineChars="200"/>
        <w:rPr>
          <w:rFonts w:ascii="黑体" w:hAnsi="黑体" w:eastAsia="黑体" w:cs="宋体"/>
          <w:kern w:val="0"/>
          <w:sz w:val="28"/>
          <w:szCs w:val="21"/>
          <w:shd w:val="clear" w:color="auto" w:fill="FFFFFF"/>
        </w:rPr>
      </w:pPr>
      <w:r>
        <w:rPr>
          <w:rFonts w:hint="eastAsia" w:ascii="黑体" w:hAnsi="黑体" w:eastAsia="黑体" w:cs="宋体"/>
          <w:kern w:val="0"/>
          <w:sz w:val="28"/>
          <w:szCs w:val="21"/>
          <w:shd w:val="clear" w:color="auto" w:fill="FFFFFF"/>
        </w:rPr>
        <w:t>（三）是否接受联合体</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不接受</w:t>
      </w:r>
    </w:p>
    <w:p>
      <w:pPr>
        <w:widowControl/>
        <w:adjustRightInd w:val="0"/>
        <w:snapToGrid w:val="0"/>
        <w:spacing w:line="300" w:lineRule="auto"/>
        <w:ind w:firstLine="560" w:firstLineChars="200"/>
        <w:rPr>
          <w:rFonts w:ascii="黑体" w:hAnsi="黑体" w:eastAsia="黑体" w:cs="宋体"/>
          <w:kern w:val="0"/>
          <w:sz w:val="28"/>
          <w:szCs w:val="21"/>
          <w:shd w:val="clear" w:color="auto" w:fill="FFFFFF"/>
        </w:rPr>
      </w:pPr>
      <w:r>
        <w:rPr>
          <w:rFonts w:hint="eastAsia" w:ascii="黑体" w:hAnsi="黑体" w:eastAsia="黑体" w:cs="宋体"/>
          <w:kern w:val="0"/>
          <w:sz w:val="28"/>
          <w:szCs w:val="21"/>
          <w:shd w:val="clear" w:color="auto" w:fill="FFFFFF"/>
        </w:rPr>
        <w:t>（四）商务谈判方式</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最低价法。</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三、公开竞争性谈判时间及地点等</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谈判时间和地点：另行通知</w:t>
      </w:r>
    </w:p>
    <w:p>
      <w:pPr>
        <w:widowControl/>
        <w:spacing w:line="360" w:lineRule="auto"/>
        <w:ind w:firstLine="480" w:firstLineChars="200"/>
        <w:rPr>
          <w:rFonts w:hint="eastAsia"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参与询比价方式：</w:t>
      </w:r>
      <w:r>
        <w:rPr>
          <w:rFonts w:hint="eastAsia" w:ascii="宋体" w:hAnsi="宋体" w:eastAsia="宋体" w:cs="宋体"/>
          <w:kern w:val="0"/>
          <w:sz w:val="24"/>
          <w:szCs w:val="21"/>
          <w:shd w:val="clear" w:color="auto" w:fill="FFFFFF"/>
        </w:rPr>
        <w:fldChar w:fldCharType="begin"/>
      </w:r>
      <w:r>
        <w:rPr>
          <w:rFonts w:hint="eastAsia" w:ascii="宋体" w:hAnsi="宋体" w:eastAsia="宋体" w:cs="宋体"/>
          <w:kern w:val="0"/>
          <w:sz w:val="24"/>
          <w:szCs w:val="21"/>
          <w:shd w:val="clear" w:color="auto" w:fill="FFFFFF"/>
        </w:rPr>
        <w:instrText xml:space="preserve"> HYPERLINK "mailto:将公司名称、联系人、联系电话（手机）、电子邮箱和公司地址发至邮箱（zhouzhb.swty@sinopec.com）报名参与询比价；将相关材料按要求密封好后寄至南京市江宁区上高路219号物探院。" </w:instrText>
      </w:r>
      <w:r>
        <w:rPr>
          <w:rFonts w:hint="eastAsia" w:ascii="宋体" w:hAnsi="宋体" w:eastAsia="宋体" w:cs="宋体"/>
          <w:kern w:val="0"/>
          <w:sz w:val="24"/>
          <w:szCs w:val="21"/>
          <w:shd w:val="clear" w:color="auto" w:fill="FFFFFF"/>
        </w:rPr>
        <w:fldChar w:fldCharType="separate"/>
      </w:r>
      <w:r>
        <w:rPr>
          <w:rFonts w:hint="eastAsia" w:ascii="宋体" w:hAnsi="宋体" w:eastAsia="宋体" w:cs="宋体"/>
          <w:kern w:val="0"/>
          <w:sz w:val="24"/>
          <w:szCs w:val="21"/>
          <w:shd w:val="clear" w:color="auto" w:fill="FFFFFF"/>
        </w:rPr>
        <w:t>将公司名称、联系人、联系电话（手机）、电子邮箱和公司地址发至邮箱（zhouzhb.swty@sinopec.com）报名参与询比价；将相关材料按要求密封好后寄至南京市江宁区上高路219号物探院。</w:t>
      </w:r>
      <w:r>
        <w:rPr>
          <w:rFonts w:hint="eastAsia" w:ascii="宋体" w:hAnsi="宋体" w:eastAsia="宋体" w:cs="宋体"/>
          <w:kern w:val="0"/>
          <w:sz w:val="24"/>
          <w:szCs w:val="21"/>
          <w:shd w:val="clear" w:color="auto" w:fill="FFFFFF"/>
        </w:rPr>
        <w:fldChar w:fldCharType="end"/>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四、发布公告的媒介</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本公告在中石化石油物探技术研究院有限公司官网发布，本公告的修改、补充在以上媒介同时发布。</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lang w:val="en-US" w:eastAsia="zh-CN"/>
        </w:rPr>
        <w:t>五</w:t>
      </w:r>
      <w:r>
        <w:rPr>
          <w:rFonts w:hint="eastAsia" w:ascii="黑体" w:hAnsi="黑体" w:eastAsia="黑体" w:cs="宋体"/>
          <w:b/>
          <w:bCs/>
          <w:kern w:val="0"/>
          <w:sz w:val="32"/>
          <w:szCs w:val="21"/>
        </w:rPr>
        <w:t>、截止时间</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202</w:t>
      </w:r>
      <w:r>
        <w:rPr>
          <w:rFonts w:ascii="宋体" w:hAnsi="宋体" w:eastAsia="宋体" w:cs="宋体"/>
          <w:kern w:val="0"/>
          <w:sz w:val="24"/>
          <w:szCs w:val="21"/>
          <w:shd w:val="clear" w:color="auto" w:fill="FFFFFF"/>
        </w:rPr>
        <w:t>4</w:t>
      </w:r>
      <w:r>
        <w:rPr>
          <w:rFonts w:hint="eastAsia" w:ascii="宋体" w:hAnsi="宋体" w:eastAsia="宋体" w:cs="宋体"/>
          <w:kern w:val="0"/>
          <w:sz w:val="24"/>
          <w:szCs w:val="21"/>
          <w:shd w:val="clear" w:color="auto" w:fill="FFFFFF"/>
        </w:rPr>
        <w:t>年10月</w:t>
      </w:r>
      <w:r>
        <w:rPr>
          <w:rFonts w:hint="eastAsia" w:ascii="宋体" w:hAnsi="宋体" w:eastAsia="宋体" w:cs="宋体"/>
          <w:kern w:val="0"/>
          <w:sz w:val="24"/>
          <w:szCs w:val="21"/>
          <w:shd w:val="clear" w:color="auto" w:fill="FFFFFF"/>
          <w:lang w:val="en-US" w:eastAsia="zh-CN"/>
        </w:rPr>
        <w:t>25</w:t>
      </w:r>
      <w:r>
        <w:rPr>
          <w:rFonts w:hint="eastAsia" w:ascii="宋体" w:hAnsi="宋体" w:eastAsia="宋体" w:cs="宋体"/>
          <w:kern w:val="0"/>
          <w:sz w:val="24"/>
          <w:szCs w:val="21"/>
          <w:shd w:val="clear" w:color="auto" w:fill="FFFFFF"/>
        </w:rPr>
        <w:t>日 17:00</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六、商务谈判注意事项</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1、需求方、报价方</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需求方：中石化石油物探技术研究院有限公司</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报价方：</w:t>
      </w:r>
      <w:r>
        <w:rPr>
          <w:rFonts w:ascii="宋体" w:hAnsi="宋体" w:eastAsia="宋体" w:cs="宋体"/>
          <w:kern w:val="0"/>
          <w:sz w:val="24"/>
          <w:szCs w:val="21"/>
          <w:shd w:val="clear" w:color="auto" w:fill="FFFFFF"/>
        </w:rPr>
        <w:t>______________________</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2、商务谈判时间：</w:t>
      </w:r>
      <w:r>
        <w:rPr>
          <w:rFonts w:hint="eastAsia" w:ascii="宋体" w:hAnsi="宋体" w:eastAsia="宋体" w:cs="宋体"/>
          <w:kern w:val="0"/>
          <w:sz w:val="24"/>
          <w:szCs w:val="21"/>
          <w:shd w:val="clear" w:color="auto" w:fill="FFFFFF"/>
        </w:rPr>
        <w:t>另行</w:t>
      </w:r>
      <w:r>
        <w:rPr>
          <w:rFonts w:ascii="宋体" w:hAnsi="宋体" w:eastAsia="宋体" w:cs="宋体"/>
          <w:kern w:val="0"/>
          <w:sz w:val="24"/>
          <w:szCs w:val="21"/>
          <w:shd w:val="clear" w:color="auto" w:fill="FFFFFF"/>
        </w:rPr>
        <w:t>通知。</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3、商务报价书及技术文件邮寄或送达地点：南京市江宁区上高路219号物探院</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4、商务谈判流程：</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1）商务报价：需求方将按照规定的时间进行商务谈判。</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 xml:space="preserve">2）报价书评定： </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a.报价书开启后，评委对每家公司的报价书进行阅读、审查和质疑，并对报价书中不明确的地方进行质询。</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b.商务谈判工作组对报价方从技术、商务二方面进行评定。技术评定主要依据《技术要求附件》的要求进行。</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3）确定报价接受方：商务谈判工作组对</w:t>
      </w:r>
      <w:r>
        <w:rPr>
          <w:rFonts w:hint="eastAsia" w:ascii="宋体" w:hAnsi="宋体" w:eastAsia="宋体" w:cs="宋体"/>
          <w:kern w:val="0"/>
          <w:sz w:val="24"/>
          <w:szCs w:val="21"/>
          <w:shd w:val="clear" w:color="auto" w:fill="FFFFFF"/>
        </w:rPr>
        <w:t>符合技术</w:t>
      </w:r>
      <w:r>
        <w:rPr>
          <w:rFonts w:ascii="宋体" w:hAnsi="宋体" w:eastAsia="宋体" w:cs="宋体"/>
          <w:kern w:val="0"/>
          <w:sz w:val="24"/>
          <w:szCs w:val="21"/>
          <w:shd w:val="clear" w:color="auto" w:fill="FFFFFF"/>
        </w:rPr>
        <w:t>要求的报价书进行评估，报价最低者为报价接受方，物探院有对报价最低者进行再次商务谈判的权力。</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七、对报价方资质、报价书的要求</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（一）合格的报价方应满足以下几点</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1、具有独立订立合同的权利和履行合同的能力，依法取得营业执照，营业执照处于有效期，营业执照、税务登记证齐全的法人或其他组织。</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2、公司为增值税一般纳税人，在近三年参加的其他业务活动中，没有违法记录。</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3、具有完成需求方要求完成任务的能力及相应的过程控制措施，近三年内完成其它业务合同未发生重大事务纠纷。</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4、具有良好的商业信誉，健全的财务会计制度，财务状况和市场行为良好。没有处于被有权机关吊销营业执照、吊销资质、停业整顿及财产被接管、冻结或进入破产程序等。</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（二）报价书的组成</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1、报价方提交的报价书应至少包括以下部分：</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报价方资质证明的复印件。</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报价项目的概述。</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报价项目的技术方案及实施计划等。</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商务报价书及技术文件应分成二份分别封装，可用一个邮件邮寄。</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报价方报价价格表。按“技术要求附件”上的栏目分列分项报价及总价。所列价格应为人民币含税价，应为完成本项目的总费用。本项目质保期为一年。报价方方案考虑不周之处，需求方将不再追加任何费用。</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3、报价方报价书的份数：报价书正本1份，副本2份。正、副本文本有差异者，以正本为准；同时提供电子文档一份（U盘）。</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八、报价书的递交</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（一）报价书的密封和标记</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1、报价方应将报价书密封，并在每个封签处加盖公章或合同专用章。无密封或无盖章的报价书将被视为无效报价书。</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2、报价书信袋封条上应写明：</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1）报价项目名称。</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2）报价方名称。</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3）注明“正本”/“副本”。</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（二）报价书的提交时间及方式</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报价方应在规定的时间内，将报价书邮寄给报价方，规定时间以外递交的报价书视为无效报价书。</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（三）不合格报价（出现下列情况之一时，报价方承诺递交的报价书视为不合格）</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1、报价书信袋封皮没按规定密封或未盖单位公章（或合同章）。</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2、报价书内容不全，字迹模糊，难以辨认或未按需求方规定填写。</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3、在递交报价书时限内，报价方没有投递报价书或虽有报价书但未能向需求方递交报价方所规定的证件和资质证明。</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不合格报价方，按放弃参与商务谈判处理。</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所有报价文件需在</w:t>
      </w:r>
      <w:r>
        <w:rPr>
          <w:rFonts w:ascii="宋体" w:hAnsi="宋体" w:eastAsia="宋体" w:cs="宋体"/>
          <w:kern w:val="0"/>
          <w:sz w:val="24"/>
          <w:szCs w:val="21"/>
          <w:highlight w:val="none"/>
          <w:shd w:val="clear" w:color="auto" w:fill="FFFFFF"/>
        </w:rPr>
        <w:t>2024年</w:t>
      </w:r>
      <w:r>
        <w:rPr>
          <w:rFonts w:hint="eastAsia" w:ascii="宋体" w:hAnsi="宋体" w:eastAsia="宋体" w:cs="宋体"/>
          <w:kern w:val="0"/>
          <w:sz w:val="24"/>
          <w:szCs w:val="21"/>
          <w:highlight w:val="none"/>
          <w:shd w:val="clear" w:color="auto" w:fill="FFFFFF"/>
          <w:lang w:val="en-US" w:eastAsia="zh-CN"/>
        </w:rPr>
        <w:t>10</w:t>
      </w:r>
      <w:r>
        <w:rPr>
          <w:rFonts w:ascii="宋体" w:hAnsi="宋体" w:eastAsia="宋体" w:cs="宋体"/>
          <w:kern w:val="0"/>
          <w:sz w:val="24"/>
          <w:szCs w:val="21"/>
          <w:highlight w:val="none"/>
          <w:shd w:val="clear" w:color="auto" w:fill="FFFFFF"/>
        </w:rPr>
        <w:t>月</w:t>
      </w:r>
      <w:r>
        <w:rPr>
          <w:rFonts w:hint="eastAsia" w:ascii="宋体" w:hAnsi="宋体" w:eastAsia="宋体" w:cs="宋体"/>
          <w:kern w:val="0"/>
          <w:sz w:val="24"/>
          <w:szCs w:val="21"/>
          <w:highlight w:val="none"/>
          <w:shd w:val="clear" w:color="auto" w:fill="FFFFFF"/>
          <w:lang w:val="en-US" w:eastAsia="zh-CN"/>
        </w:rPr>
        <w:t>25</w:t>
      </w:r>
      <w:bookmarkStart w:id="0" w:name="_GoBack"/>
      <w:bookmarkEnd w:id="0"/>
      <w:r>
        <w:rPr>
          <w:rFonts w:ascii="宋体" w:hAnsi="宋体" w:eastAsia="宋体" w:cs="宋体"/>
          <w:kern w:val="0"/>
          <w:sz w:val="24"/>
          <w:szCs w:val="21"/>
          <w:highlight w:val="none"/>
          <w:shd w:val="clear" w:color="auto" w:fill="FFFFFF"/>
        </w:rPr>
        <w:t>日</w:t>
      </w:r>
      <w:r>
        <w:rPr>
          <w:rFonts w:ascii="宋体" w:hAnsi="宋体" w:eastAsia="宋体" w:cs="宋体"/>
          <w:kern w:val="0"/>
          <w:sz w:val="24"/>
          <w:szCs w:val="21"/>
          <w:shd w:val="clear" w:color="auto" w:fill="FFFFFF"/>
        </w:rPr>
        <w:t>前邮寄或送达至需求方，否则将按放弃参与商务谈判处理。</w:t>
      </w:r>
    </w:p>
    <w:p>
      <w:pPr>
        <w:widowControl/>
        <w:adjustRightInd w:val="0"/>
        <w:snapToGrid w:val="0"/>
        <w:spacing w:line="300" w:lineRule="auto"/>
        <w:ind w:firstLine="482" w:firstLineChars="200"/>
        <w:rPr>
          <w:rFonts w:ascii="宋体" w:hAnsi="宋体" w:eastAsia="宋体" w:cs="宋体"/>
          <w:b/>
          <w:kern w:val="0"/>
          <w:sz w:val="24"/>
          <w:szCs w:val="21"/>
          <w:shd w:val="clear" w:color="auto" w:fill="FFFFFF"/>
        </w:rPr>
      </w:pPr>
    </w:p>
    <w:p>
      <w:pPr>
        <w:widowControl/>
        <w:adjustRightInd w:val="0"/>
        <w:snapToGrid w:val="0"/>
        <w:spacing w:line="300" w:lineRule="auto"/>
        <w:ind w:firstLine="482" w:firstLineChars="200"/>
        <w:rPr>
          <w:rFonts w:ascii="宋体" w:hAnsi="宋体" w:eastAsia="宋体" w:cs="宋体"/>
          <w:b/>
          <w:kern w:val="0"/>
          <w:sz w:val="24"/>
          <w:szCs w:val="21"/>
          <w:shd w:val="clear" w:color="auto" w:fill="FFFFFF"/>
        </w:rPr>
      </w:pPr>
      <w:r>
        <w:rPr>
          <w:rFonts w:hint="eastAsia" w:ascii="宋体" w:hAnsi="宋体" w:eastAsia="宋体" w:cs="宋体"/>
          <w:b/>
          <w:kern w:val="0"/>
          <w:sz w:val="24"/>
          <w:szCs w:val="21"/>
          <w:shd w:val="clear" w:color="auto" w:fill="FFFFFF"/>
        </w:rPr>
        <w:t>地址：南京市江宁区上高路</w:t>
      </w:r>
      <w:r>
        <w:rPr>
          <w:rFonts w:ascii="宋体" w:hAnsi="宋体" w:eastAsia="宋体" w:cs="宋体"/>
          <w:b/>
          <w:kern w:val="0"/>
          <w:sz w:val="24"/>
          <w:szCs w:val="21"/>
          <w:shd w:val="clear" w:color="auto" w:fill="FFFFFF"/>
        </w:rPr>
        <w:t>219号</w:t>
      </w:r>
      <w:r>
        <w:rPr>
          <w:rFonts w:hint="eastAsia" w:ascii="宋体" w:hAnsi="宋体" w:eastAsia="宋体" w:cs="宋体"/>
          <w:b/>
          <w:kern w:val="0"/>
          <w:sz w:val="24"/>
          <w:szCs w:val="21"/>
          <w:shd w:val="clear" w:color="auto" w:fill="FFFFFF"/>
        </w:rPr>
        <w:t>物探院</w:t>
      </w:r>
    </w:p>
    <w:p>
      <w:pPr>
        <w:widowControl/>
        <w:adjustRightInd w:val="0"/>
        <w:snapToGrid w:val="0"/>
        <w:spacing w:line="300" w:lineRule="auto"/>
        <w:ind w:firstLine="482" w:firstLineChars="200"/>
        <w:rPr>
          <w:rFonts w:ascii="宋体" w:hAnsi="宋体" w:eastAsia="宋体" w:cs="宋体"/>
          <w:b/>
          <w:kern w:val="0"/>
          <w:sz w:val="24"/>
          <w:szCs w:val="21"/>
          <w:shd w:val="clear" w:color="auto" w:fill="FFFFFF"/>
        </w:rPr>
      </w:pPr>
      <w:r>
        <w:rPr>
          <w:rFonts w:hint="eastAsia" w:ascii="宋体" w:hAnsi="宋体" w:eastAsia="宋体" w:cs="宋体"/>
          <w:b/>
          <w:kern w:val="0"/>
          <w:sz w:val="24"/>
          <w:szCs w:val="21"/>
          <w:shd w:val="clear" w:color="auto" w:fill="FFFFFF"/>
        </w:rPr>
        <w:t>联系人：周中彪</w:t>
      </w:r>
      <w:r>
        <w:rPr>
          <w:rFonts w:ascii="宋体" w:hAnsi="宋体" w:eastAsia="宋体" w:cs="宋体"/>
          <w:b/>
          <w:kern w:val="0"/>
          <w:sz w:val="24"/>
          <w:szCs w:val="21"/>
          <w:shd w:val="clear" w:color="auto" w:fill="FFFFFF"/>
        </w:rPr>
        <w:t xml:space="preserve">          电话：18751882911</w:t>
      </w:r>
    </w:p>
    <w:p>
      <w:pPr>
        <w:widowControl/>
        <w:adjustRightInd w:val="0"/>
        <w:snapToGrid w:val="0"/>
        <w:spacing w:line="300" w:lineRule="auto"/>
        <w:ind w:firstLine="482" w:firstLineChars="200"/>
        <w:jc w:val="left"/>
        <w:rPr>
          <w:rFonts w:ascii="宋体" w:hAnsi="宋体" w:eastAsia="宋体" w:cs="宋体"/>
          <w:b/>
          <w:kern w:val="0"/>
          <w:sz w:val="24"/>
          <w:szCs w:val="21"/>
          <w:shd w:val="clear" w:color="auto" w:fill="FFFFFF"/>
        </w:rPr>
      </w:pPr>
      <w:r>
        <w:rPr>
          <w:rFonts w:ascii="宋体" w:hAnsi="宋体" w:eastAsia="宋体" w:cs="宋体"/>
          <w:b/>
          <w:kern w:val="0"/>
          <w:sz w:val="24"/>
          <w:szCs w:val="21"/>
          <w:shd w:val="clear" w:color="auto" w:fill="FFFFFF"/>
        </w:rPr>
        <w:t>Email：zhouzhb.swty@sinopec.com</w:t>
      </w:r>
      <w:r>
        <w:rPr>
          <w:rFonts w:ascii="宋体" w:hAnsi="宋体" w:eastAsia="宋体" w:cs="宋体"/>
          <w:kern w:val="0"/>
          <w:sz w:val="24"/>
          <w:szCs w:val="21"/>
          <w:shd w:val="clear" w:color="auto" w:fill="FFFFFF"/>
        </w:rPr>
        <w:t xml:space="preserve">                  </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 xml:space="preserve">                  </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附件：</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B6"/>
    <w:rsid w:val="0004688E"/>
    <w:rsid w:val="00047D45"/>
    <w:rsid w:val="00060567"/>
    <w:rsid w:val="000725EB"/>
    <w:rsid w:val="000933D0"/>
    <w:rsid w:val="00097F6D"/>
    <w:rsid w:val="000A0E23"/>
    <w:rsid w:val="000C6C6D"/>
    <w:rsid w:val="00107000"/>
    <w:rsid w:val="001F37DF"/>
    <w:rsid w:val="00211C85"/>
    <w:rsid w:val="00285E37"/>
    <w:rsid w:val="002B3A4A"/>
    <w:rsid w:val="002E001E"/>
    <w:rsid w:val="002E39ED"/>
    <w:rsid w:val="003143C7"/>
    <w:rsid w:val="003339FE"/>
    <w:rsid w:val="00336E0B"/>
    <w:rsid w:val="00341183"/>
    <w:rsid w:val="00350594"/>
    <w:rsid w:val="00356BD1"/>
    <w:rsid w:val="00393E24"/>
    <w:rsid w:val="003A0126"/>
    <w:rsid w:val="003B3CEB"/>
    <w:rsid w:val="00460651"/>
    <w:rsid w:val="00473817"/>
    <w:rsid w:val="00480B0F"/>
    <w:rsid w:val="004D6948"/>
    <w:rsid w:val="004E1C30"/>
    <w:rsid w:val="005345AD"/>
    <w:rsid w:val="005435A9"/>
    <w:rsid w:val="005D735A"/>
    <w:rsid w:val="005F4EDA"/>
    <w:rsid w:val="005F6155"/>
    <w:rsid w:val="006B725E"/>
    <w:rsid w:val="006D7550"/>
    <w:rsid w:val="007C05AE"/>
    <w:rsid w:val="008755CC"/>
    <w:rsid w:val="00897720"/>
    <w:rsid w:val="00984899"/>
    <w:rsid w:val="009F3575"/>
    <w:rsid w:val="00A01F1C"/>
    <w:rsid w:val="00A10555"/>
    <w:rsid w:val="00A151A3"/>
    <w:rsid w:val="00A34E48"/>
    <w:rsid w:val="00AF7F25"/>
    <w:rsid w:val="00B07B5E"/>
    <w:rsid w:val="00B22CB6"/>
    <w:rsid w:val="00B35B48"/>
    <w:rsid w:val="00B515C4"/>
    <w:rsid w:val="00B93735"/>
    <w:rsid w:val="00BA03F0"/>
    <w:rsid w:val="00BC0651"/>
    <w:rsid w:val="00BC553A"/>
    <w:rsid w:val="00BD4893"/>
    <w:rsid w:val="00BE460A"/>
    <w:rsid w:val="00C07227"/>
    <w:rsid w:val="00C103C8"/>
    <w:rsid w:val="00C153E0"/>
    <w:rsid w:val="00C16777"/>
    <w:rsid w:val="00C61892"/>
    <w:rsid w:val="00CB5EA8"/>
    <w:rsid w:val="00D00D59"/>
    <w:rsid w:val="00D41B18"/>
    <w:rsid w:val="00D63476"/>
    <w:rsid w:val="00DD6885"/>
    <w:rsid w:val="00E029D8"/>
    <w:rsid w:val="00F2755D"/>
    <w:rsid w:val="00F87586"/>
    <w:rsid w:val="00F90F05"/>
    <w:rsid w:val="00FD1F63"/>
    <w:rsid w:val="293662DF"/>
    <w:rsid w:val="34937BAA"/>
    <w:rsid w:val="44F83217"/>
    <w:rsid w:val="4D9008FA"/>
    <w:rsid w:val="51F0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202867-D96D-4862-8E12-D1DA4EDF6AFC}"/>
</file>

<file path=customXml/itemProps2.xml><?xml version="1.0" encoding="utf-8"?>
<ds:datastoreItem xmlns:ds="http://schemas.openxmlformats.org/officeDocument/2006/customXml" ds:itemID="{240A31CA-D21A-4BAE-9A66-002338F5CA28}"/>
</file>

<file path=customXml/itemProps3.xml><?xml version="1.0" encoding="utf-8"?>
<ds:datastoreItem xmlns:ds="http://schemas.openxmlformats.org/officeDocument/2006/customXml" ds:itemID="{CC185492-2D3A-4997-BF5F-DA358A9A77D7}"/>
</file>

<file path=docProps/app.xml><?xml version="1.0" encoding="utf-8"?>
<Properties xmlns="http://schemas.openxmlformats.org/officeDocument/2006/extended-properties" xmlns:vt="http://schemas.openxmlformats.org/officeDocument/2006/docPropsVTypes">
  <Template>Normal</Template>
  <Pages>5</Pages>
  <Words>284</Words>
  <Characters>1619</Characters>
  <Lines>13</Lines>
  <Paragraphs>3</Paragraphs>
  <TotalTime>0</TotalTime>
  <ScaleCrop>false</ScaleCrop>
  <LinksUpToDate>false</LinksUpToDate>
  <CharactersWithSpaces>1900</CharactersWithSpaces>
  <Application>WPS Office_11.8.0.16981_F1E327BC-269C-435d-A152-05C5408002CA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LiJin</dc:creator>
  <cp:lastModifiedBy>allen</cp:lastModifiedBy>
  <cp:revision>30</cp:revision>
  <cp:lastPrinted>2022-07-27T00:24:00Z</cp:lastPrinted>
  <dcterms:created xsi:type="dcterms:W3CDTF">2021-09-03T01:29:00Z</dcterms:created>
  <dcterms:modified xsi:type="dcterms:W3CDTF">2024-10-21T01:49:53Z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2052-11.8.0.16981</vt:lpwstr>
  </property>
  <property fmtid="{D5CDD505-2E9C-101B-9397-08002B2CF9AE}" pid="3" name="ICV">
    <vt:lpwstr>12C2010875A74FD2B35DD7DA87BB83F8</vt:lpwstr>
  </property>
  <property fmtid="{D5CDD505-2E9C-101B-9397-08002B2CF9AE}" pid="4" name="ContentTypeId">
    <vt:lpwstr>0x01010080340F6F440D0B4EA5026FFDB8FFDB55</vt:lpwstr>
  </property>
</Properties>
</file>