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settings.xml" ContentType="application/vnd.openxmlformats-officedocument.wordprocessingml.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document.xml" ContentType="application/vnd.openxmlformats-officedocument.wordprocessingml.document.main+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0" w:lineRule="atLeast"/>
        <w:jc w:val="center"/>
        <w:rPr>
          <w:color w:val="auto"/>
          <w:sz w:val="32"/>
          <w:highlight w:val="none"/>
        </w:rPr>
      </w:pPr>
      <w:bookmarkStart w:id="0" w:name="_Toc208633823"/>
      <w:bookmarkStart w:id="1" w:name="_Toc229886039"/>
    </w:p>
    <w:p>
      <w:pPr>
        <w:spacing w:line="360" w:lineRule="auto"/>
        <w:jc w:val="left"/>
        <w:rPr>
          <w:color w:val="auto"/>
          <w:sz w:val="32"/>
          <w:highlight w:val="none"/>
        </w:rPr>
      </w:pPr>
    </w:p>
    <w:p>
      <w:pPr>
        <w:spacing w:line="240" w:lineRule="auto"/>
        <w:jc w:val="center"/>
        <w:outlineLvl w:val="0"/>
        <w:rPr>
          <w:rFonts w:hint="eastAsia" w:ascii="仿宋" w:hAnsi="仿宋" w:eastAsia="仿宋"/>
          <w:b/>
          <w:snapToGrid w:val="0"/>
          <w:color w:val="auto"/>
          <w:spacing w:val="-4"/>
          <w:sz w:val="44"/>
          <w:szCs w:val="48"/>
          <w:highlight w:val="none"/>
        </w:rPr>
      </w:pPr>
      <w:bookmarkStart w:id="2" w:name="_Toc10983"/>
      <w:bookmarkStart w:id="3" w:name="_Toc136780866"/>
      <w:bookmarkStart w:id="4" w:name="_Toc136619604"/>
      <w:bookmarkStart w:id="5" w:name="_Toc136786578"/>
      <w:bookmarkStart w:id="6" w:name="_Toc136619524"/>
      <w:r>
        <w:rPr>
          <w:rFonts w:hint="eastAsia" w:ascii="仿宋" w:hAnsi="仿宋" w:eastAsia="仿宋"/>
          <w:b/>
          <w:snapToGrid w:val="0"/>
          <w:color w:val="auto"/>
          <w:spacing w:val="-4"/>
          <w:sz w:val="44"/>
          <w:szCs w:val="48"/>
          <w:highlight w:val="none"/>
        </w:rPr>
        <w:t>2024年度生产外协项目</w:t>
      </w:r>
      <w:bookmarkEnd w:id="2"/>
      <w:bookmarkEnd w:id="3"/>
      <w:bookmarkEnd w:id="4"/>
      <w:bookmarkEnd w:id="5"/>
      <w:bookmarkEnd w:id="6"/>
    </w:p>
    <w:p>
      <w:pPr>
        <w:spacing w:line="360" w:lineRule="auto"/>
        <w:jc w:val="center"/>
        <w:rPr>
          <w:b/>
          <w:color w:val="auto"/>
          <w:sz w:val="52"/>
          <w:szCs w:val="52"/>
          <w:highlight w:val="none"/>
        </w:rPr>
      </w:pPr>
    </w:p>
    <w:p>
      <w:pPr>
        <w:spacing w:line="360" w:lineRule="auto"/>
        <w:jc w:val="center"/>
        <w:rPr>
          <w:rFonts w:hint="eastAsia" w:ascii="黑体" w:hAnsi="黑体" w:eastAsia="黑体"/>
          <w:b/>
          <w:color w:val="auto"/>
          <w:sz w:val="52"/>
          <w:szCs w:val="52"/>
          <w:highlight w:val="none"/>
        </w:rPr>
      </w:pPr>
      <w:r>
        <w:rPr>
          <w:rFonts w:hint="eastAsia" w:ascii="黑体" w:hAnsi="黑体" w:eastAsia="黑体"/>
          <w:b/>
          <w:color w:val="auto"/>
          <w:sz w:val="52"/>
          <w:szCs w:val="52"/>
          <w:highlight w:val="none"/>
        </w:rPr>
        <w:t>竞争性谈判文件</w:t>
      </w:r>
    </w:p>
    <w:p>
      <w:pPr>
        <w:spacing w:line="0" w:lineRule="atLeast"/>
        <w:jc w:val="center"/>
        <w:rPr>
          <w:b/>
          <w:color w:val="auto"/>
          <w:sz w:val="52"/>
          <w:highlight w:val="none"/>
        </w:rPr>
      </w:pPr>
    </w:p>
    <w:p>
      <w:pPr>
        <w:spacing w:line="0" w:lineRule="atLeast"/>
        <w:jc w:val="center"/>
        <w:rPr>
          <w:b/>
          <w:color w:val="auto"/>
          <w:sz w:val="52"/>
          <w:highlight w:val="none"/>
        </w:rPr>
      </w:pPr>
    </w:p>
    <w:p>
      <w:pPr>
        <w:spacing w:line="0" w:lineRule="atLeast"/>
        <w:jc w:val="center"/>
        <w:rPr>
          <w:b/>
          <w:color w:val="auto"/>
          <w:sz w:val="52"/>
          <w:highlight w:val="none"/>
        </w:rPr>
      </w:pPr>
    </w:p>
    <w:p>
      <w:pPr>
        <w:spacing w:line="0" w:lineRule="atLeast"/>
        <w:jc w:val="center"/>
        <w:rPr>
          <w:b/>
          <w:color w:val="auto"/>
          <w:sz w:val="52"/>
          <w:highlight w:val="none"/>
        </w:rPr>
      </w:pPr>
    </w:p>
    <w:p>
      <w:pPr>
        <w:spacing w:line="0" w:lineRule="atLeast"/>
        <w:rPr>
          <w:color w:val="auto"/>
          <w:sz w:val="30"/>
          <w:highlight w:val="none"/>
        </w:rPr>
      </w:pPr>
    </w:p>
    <w:p>
      <w:pPr>
        <w:spacing w:line="0" w:lineRule="atLeast"/>
        <w:rPr>
          <w:color w:val="auto"/>
          <w:sz w:val="30"/>
          <w:highlight w:val="none"/>
        </w:rPr>
      </w:pPr>
    </w:p>
    <w:p>
      <w:pPr>
        <w:spacing w:line="0" w:lineRule="atLeast"/>
        <w:rPr>
          <w:color w:val="auto"/>
          <w:sz w:val="30"/>
          <w:highlight w:val="none"/>
        </w:rPr>
      </w:pPr>
    </w:p>
    <w:p>
      <w:pPr>
        <w:spacing w:line="0" w:lineRule="atLeast"/>
        <w:rPr>
          <w:color w:val="auto"/>
          <w:sz w:val="30"/>
          <w:highlight w:val="none"/>
        </w:rPr>
      </w:pPr>
    </w:p>
    <w:p>
      <w:pPr>
        <w:spacing w:line="0" w:lineRule="atLeast"/>
        <w:rPr>
          <w:color w:val="auto"/>
          <w:sz w:val="30"/>
          <w:highlight w:val="none"/>
        </w:rPr>
      </w:pPr>
    </w:p>
    <w:p>
      <w:pPr>
        <w:spacing w:line="0" w:lineRule="atLeast"/>
        <w:rPr>
          <w:color w:val="auto"/>
          <w:sz w:val="30"/>
          <w:highlight w:val="none"/>
        </w:rPr>
      </w:pPr>
    </w:p>
    <w:p>
      <w:pPr>
        <w:spacing w:line="0" w:lineRule="atLeast"/>
        <w:rPr>
          <w:color w:val="auto"/>
          <w:sz w:val="30"/>
          <w:highlight w:val="none"/>
        </w:rPr>
      </w:pPr>
    </w:p>
    <w:p>
      <w:pPr>
        <w:spacing w:line="0" w:lineRule="atLeast"/>
        <w:rPr>
          <w:color w:val="auto"/>
          <w:sz w:val="30"/>
          <w:highlight w:val="none"/>
        </w:rPr>
      </w:pPr>
    </w:p>
    <w:p>
      <w:pPr>
        <w:spacing w:line="0" w:lineRule="atLeast"/>
        <w:rPr>
          <w:color w:val="auto"/>
          <w:sz w:val="30"/>
          <w:highlight w:val="none"/>
        </w:rPr>
      </w:pPr>
    </w:p>
    <w:p>
      <w:pPr>
        <w:spacing w:line="0" w:lineRule="atLeast"/>
        <w:rPr>
          <w:color w:val="auto"/>
          <w:sz w:val="30"/>
          <w:highlight w:val="none"/>
        </w:rPr>
      </w:pPr>
    </w:p>
    <w:p>
      <w:pPr>
        <w:spacing w:line="0" w:lineRule="atLeast"/>
        <w:rPr>
          <w:color w:val="auto"/>
          <w:sz w:val="30"/>
          <w:highlight w:val="none"/>
        </w:rPr>
      </w:pPr>
    </w:p>
    <w:p>
      <w:pPr>
        <w:spacing w:line="0" w:lineRule="atLeast"/>
        <w:rPr>
          <w:color w:val="auto"/>
          <w:sz w:val="30"/>
          <w:highlight w:val="none"/>
        </w:rPr>
      </w:pPr>
    </w:p>
    <w:p>
      <w:pPr>
        <w:spacing w:line="0" w:lineRule="atLeast"/>
        <w:rPr>
          <w:color w:val="auto"/>
          <w:sz w:val="30"/>
          <w:highlight w:val="none"/>
        </w:rPr>
      </w:pPr>
    </w:p>
    <w:p>
      <w:pPr>
        <w:spacing w:line="0" w:lineRule="atLeast"/>
        <w:rPr>
          <w:color w:val="auto"/>
          <w:sz w:val="30"/>
          <w:highlight w:val="none"/>
        </w:rPr>
      </w:pPr>
    </w:p>
    <w:p>
      <w:pPr>
        <w:spacing w:line="0" w:lineRule="atLeast"/>
        <w:rPr>
          <w:color w:val="auto"/>
          <w:sz w:val="30"/>
          <w:highlight w:val="none"/>
        </w:rPr>
      </w:pPr>
    </w:p>
    <w:p>
      <w:pPr>
        <w:spacing w:line="0" w:lineRule="atLeast"/>
        <w:rPr>
          <w:color w:val="auto"/>
          <w:sz w:val="30"/>
          <w:highlight w:val="none"/>
        </w:rPr>
      </w:pPr>
    </w:p>
    <w:p>
      <w:pPr>
        <w:spacing w:line="0" w:lineRule="atLeast"/>
        <w:rPr>
          <w:color w:val="auto"/>
          <w:sz w:val="30"/>
          <w:highlight w:val="none"/>
        </w:rPr>
      </w:pPr>
    </w:p>
    <w:p>
      <w:pPr>
        <w:jc w:val="center"/>
        <w:rPr>
          <w:b/>
          <w:color w:val="auto"/>
          <w:sz w:val="36"/>
          <w:szCs w:val="36"/>
          <w:highlight w:val="none"/>
        </w:rPr>
      </w:pPr>
      <w:r>
        <w:rPr>
          <w:rFonts w:hint="eastAsia"/>
          <w:b/>
          <w:color w:val="auto"/>
          <w:sz w:val="36"/>
          <w:szCs w:val="36"/>
          <w:highlight w:val="none"/>
        </w:rPr>
        <w:t>中石化石油物探技术研究院有限公司</w:t>
      </w:r>
    </w:p>
    <w:p>
      <w:pPr>
        <w:jc w:val="center"/>
        <w:rPr>
          <w:b/>
          <w:color w:val="auto"/>
          <w:sz w:val="36"/>
          <w:szCs w:val="36"/>
          <w:highlight w:val="none"/>
        </w:rPr>
      </w:pPr>
      <w:r>
        <w:rPr>
          <w:rFonts w:hint="eastAsia"/>
          <w:b/>
          <w:color w:val="auto"/>
          <w:sz w:val="36"/>
          <w:szCs w:val="36"/>
          <w:highlight w:val="none"/>
        </w:rPr>
        <w:t>二〇</w:t>
      </w:r>
      <w:r>
        <w:rPr>
          <w:b/>
          <w:color w:val="auto"/>
          <w:sz w:val="36"/>
          <w:szCs w:val="36"/>
          <w:highlight w:val="none"/>
        </w:rPr>
        <w:t>二</w:t>
      </w:r>
      <w:r>
        <w:rPr>
          <w:rFonts w:hint="eastAsia"/>
          <w:b/>
          <w:color w:val="auto"/>
          <w:sz w:val="36"/>
          <w:szCs w:val="36"/>
          <w:highlight w:val="none"/>
        </w:rPr>
        <w:t>四年八月</w:t>
      </w:r>
    </w:p>
    <w:p>
      <w:pPr>
        <w:ind w:firstLine="352" w:firstLineChars="168"/>
        <w:jc w:val="center"/>
        <w:rPr>
          <w:color w:val="auto"/>
          <w:highlight w:val="none"/>
        </w:rPr>
      </w:pPr>
      <w:r>
        <w:rPr>
          <w:color w:val="auto"/>
          <w:highlight w:val="none"/>
        </w:rPr>
        <w:br w:type="page"/>
      </w:r>
      <w:bookmarkStart w:id="7" w:name="_Toc209977820"/>
      <w:bookmarkStart w:id="8" w:name="_Toc209978720"/>
      <w:bookmarkStart w:id="9" w:name="_Toc209977948"/>
      <w:bookmarkStart w:id="10" w:name="_Toc209977518"/>
      <w:bookmarkStart w:id="11" w:name="_Toc209977683"/>
    </w:p>
    <w:p>
      <w:pPr>
        <w:ind w:firstLine="352" w:firstLineChars="168"/>
        <w:jc w:val="center"/>
        <w:rPr>
          <w:color w:val="auto"/>
          <w:highlight w:val="none"/>
        </w:rPr>
      </w:pPr>
    </w:p>
    <w:p>
      <w:pPr>
        <w:ind w:firstLine="607" w:firstLineChars="168"/>
        <w:jc w:val="center"/>
        <w:rPr>
          <w:b/>
          <w:color w:val="auto"/>
          <w:sz w:val="36"/>
          <w:szCs w:val="36"/>
          <w:highlight w:val="none"/>
        </w:rPr>
      </w:pPr>
      <w:r>
        <w:rPr>
          <w:rFonts w:hint="eastAsia"/>
          <w:b/>
          <w:color w:val="auto"/>
          <w:sz w:val="36"/>
          <w:szCs w:val="36"/>
          <w:highlight w:val="none"/>
        </w:rPr>
        <w:t>目    录</w:t>
      </w:r>
    </w:p>
    <w:p>
      <w:pPr>
        <w:ind w:firstLine="607" w:firstLineChars="168"/>
        <w:jc w:val="center"/>
        <w:rPr>
          <w:b/>
          <w:color w:val="auto"/>
          <w:sz w:val="36"/>
          <w:szCs w:val="36"/>
          <w:highlight w:val="none"/>
        </w:rPr>
      </w:pPr>
    </w:p>
    <w:p>
      <w:pPr>
        <w:pStyle w:val="19"/>
        <w:tabs>
          <w:tab w:val="right" w:leader="dot" w:pos="8306"/>
        </w:tabs>
        <w:rPr>
          <w:color w:val="auto"/>
          <w:highlight w:val="none"/>
        </w:rPr>
      </w:pPr>
      <w:r>
        <w:rPr>
          <w:rStyle w:val="26"/>
          <w:color w:val="auto"/>
          <w:sz w:val="28"/>
          <w:highlight w:val="none"/>
        </w:rPr>
        <w:fldChar w:fldCharType="begin"/>
      </w:r>
      <w:r>
        <w:rPr>
          <w:rStyle w:val="26"/>
          <w:rFonts w:asciiTheme="minorEastAsia" w:hAnsiTheme="minorEastAsia"/>
          <w:color w:val="auto"/>
          <w:sz w:val="28"/>
          <w:szCs w:val="28"/>
          <w:highlight w:val="none"/>
        </w:rPr>
        <w:instrText xml:space="preserve"> TOC \o "1-3" \h \z \u </w:instrText>
      </w:r>
      <w:r>
        <w:rPr>
          <w:rStyle w:val="26"/>
          <w:color w:val="auto"/>
          <w:sz w:val="28"/>
          <w:highlight w:val="none"/>
        </w:rPr>
        <w:fldChar w:fldCharType="separate"/>
      </w:r>
    </w:p>
    <w:p>
      <w:pPr>
        <w:pStyle w:val="19"/>
        <w:tabs>
          <w:tab w:val="right" w:leader="dot" w:pos="8306"/>
        </w:tabs>
        <w:rPr>
          <w:color w:val="auto"/>
          <w:highlight w:val="none"/>
        </w:rPr>
      </w:pPr>
      <w:r>
        <w:rPr>
          <w:color w:val="auto"/>
          <w:highlight w:val="none"/>
        </w:rPr>
        <w:fldChar w:fldCharType="begin"/>
      </w:r>
      <w:r>
        <w:rPr>
          <w:color w:val="auto"/>
          <w:highlight w:val="none"/>
        </w:rPr>
        <w:instrText xml:space="preserve"> HYPERLINK \l "_Toc8955" </w:instrText>
      </w:r>
      <w:r>
        <w:rPr>
          <w:color w:val="auto"/>
          <w:highlight w:val="none"/>
        </w:rPr>
        <w:fldChar w:fldCharType="separate"/>
      </w:r>
      <w:r>
        <w:rPr>
          <w:rFonts w:hint="eastAsia" w:asciiTheme="minorEastAsia" w:hAnsiTheme="minorEastAsia" w:eastAsiaTheme="minorEastAsia"/>
          <w:color w:val="auto"/>
          <w:highlight w:val="none"/>
        </w:rPr>
        <w:t>1 项目概况</w:t>
      </w:r>
      <w:r>
        <w:rPr>
          <w:color w:val="auto"/>
          <w:highlight w:val="none"/>
        </w:rPr>
        <w:tab/>
      </w:r>
      <w:r>
        <w:rPr>
          <w:color w:val="auto"/>
          <w:highlight w:val="none"/>
        </w:rPr>
        <w:fldChar w:fldCharType="begin"/>
      </w:r>
      <w:r>
        <w:rPr>
          <w:color w:val="auto"/>
          <w:highlight w:val="none"/>
        </w:rPr>
        <w:instrText xml:space="preserve"> PAGEREF _Toc8955 \h </w:instrText>
      </w:r>
      <w:r>
        <w:rPr>
          <w:color w:val="auto"/>
          <w:highlight w:val="none"/>
        </w:rPr>
        <w:fldChar w:fldCharType="separate"/>
      </w:r>
      <w:r>
        <w:rPr>
          <w:color w:val="auto"/>
          <w:highlight w:val="none"/>
        </w:rPr>
        <w:t>1</w:t>
      </w:r>
      <w:r>
        <w:rPr>
          <w:color w:val="auto"/>
          <w:highlight w:val="none"/>
        </w:rPr>
        <w:fldChar w:fldCharType="end"/>
      </w:r>
      <w:r>
        <w:rPr>
          <w:color w:val="auto"/>
          <w:highlight w:val="none"/>
        </w:rPr>
        <w:fldChar w:fldCharType="end"/>
      </w:r>
    </w:p>
    <w:p>
      <w:pPr>
        <w:pStyle w:val="19"/>
        <w:tabs>
          <w:tab w:val="right" w:leader="dot" w:pos="8306"/>
        </w:tabs>
        <w:rPr>
          <w:color w:val="auto"/>
          <w:highlight w:val="none"/>
        </w:rPr>
      </w:pPr>
      <w:r>
        <w:rPr>
          <w:color w:val="auto"/>
          <w:highlight w:val="none"/>
        </w:rPr>
        <w:fldChar w:fldCharType="begin"/>
      </w:r>
      <w:r>
        <w:rPr>
          <w:color w:val="auto"/>
          <w:highlight w:val="none"/>
        </w:rPr>
        <w:instrText xml:space="preserve"> HYPERLINK \l "_Toc20802" </w:instrText>
      </w:r>
      <w:r>
        <w:rPr>
          <w:color w:val="auto"/>
          <w:highlight w:val="none"/>
        </w:rPr>
        <w:fldChar w:fldCharType="separate"/>
      </w:r>
      <w:r>
        <w:rPr>
          <w:rFonts w:hint="eastAsia" w:asciiTheme="minorEastAsia" w:hAnsiTheme="minorEastAsia" w:eastAsiaTheme="minorEastAsia"/>
          <w:color w:val="auto"/>
          <w:highlight w:val="none"/>
        </w:rPr>
        <w:t>2</w:t>
      </w:r>
      <w:r>
        <w:rPr>
          <w:rFonts w:asciiTheme="minorEastAsia" w:hAnsiTheme="minorEastAsia" w:eastAsiaTheme="minorEastAsia"/>
          <w:color w:val="auto"/>
          <w:highlight w:val="none"/>
        </w:rPr>
        <w:t xml:space="preserve"> </w:t>
      </w:r>
      <w:r>
        <w:rPr>
          <w:rFonts w:hint="eastAsia" w:asciiTheme="minorEastAsia" w:hAnsiTheme="minorEastAsia" w:eastAsiaTheme="minorEastAsia"/>
          <w:color w:val="auto"/>
          <w:highlight w:val="none"/>
        </w:rPr>
        <w:t>技术和服务要求</w:t>
      </w:r>
      <w:r>
        <w:rPr>
          <w:color w:val="auto"/>
          <w:highlight w:val="none"/>
        </w:rPr>
        <w:tab/>
      </w:r>
      <w:r>
        <w:rPr>
          <w:color w:val="auto"/>
          <w:highlight w:val="none"/>
        </w:rPr>
        <w:fldChar w:fldCharType="begin"/>
      </w:r>
      <w:r>
        <w:rPr>
          <w:color w:val="auto"/>
          <w:highlight w:val="none"/>
        </w:rPr>
        <w:instrText xml:space="preserve"> PAGEREF _Toc20802 \h </w:instrText>
      </w:r>
      <w:r>
        <w:rPr>
          <w:color w:val="auto"/>
          <w:highlight w:val="none"/>
        </w:rPr>
        <w:fldChar w:fldCharType="separate"/>
      </w:r>
      <w:r>
        <w:rPr>
          <w:color w:val="auto"/>
          <w:highlight w:val="none"/>
        </w:rPr>
        <w:t>1</w:t>
      </w:r>
      <w:r>
        <w:rPr>
          <w:color w:val="auto"/>
          <w:highlight w:val="none"/>
        </w:rPr>
        <w:fldChar w:fldCharType="end"/>
      </w:r>
      <w:r>
        <w:rPr>
          <w:color w:val="auto"/>
          <w:highlight w:val="none"/>
        </w:rPr>
        <w:fldChar w:fldCharType="end"/>
      </w:r>
    </w:p>
    <w:p>
      <w:pPr>
        <w:pStyle w:val="19"/>
        <w:tabs>
          <w:tab w:val="right" w:leader="dot" w:pos="8306"/>
        </w:tabs>
        <w:rPr>
          <w:color w:val="auto"/>
          <w:highlight w:val="none"/>
        </w:rPr>
      </w:pPr>
      <w:r>
        <w:rPr>
          <w:color w:val="auto"/>
          <w:highlight w:val="none"/>
        </w:rPr>
        <w:fldChar w:fldCharType="begin"/>
      </w:r>
      <w:r>
        <w:rPr>
          <w:color w:val="auto"/>
          <w:highlight w:val="none"/>
        </w:rPr>
        <w:instrText xml:space="preserve"> HYPERLINK \l "_Toc21525" </w:instrText>
      </w:r>
      <w:r>
        <w:rPr>
          <w:color w:val="auto"/>
          <w:highlight w:val="none"/>
        </w:rPr>
        <w:fldChar w:fldCharType="separate"/>
      </w:r>
      <w:r>
        <w:rPr>
          <w:rFonts w:asciiTheme="minorEastAsia" w:hAnsiTheme="minorEastAsia" w:eastAsiaTheme="minorEastAsia"/>
          <w:color w:val="auto"/>
          <w:highlight w:val="none"/>
        </w:rPr>
        <w:t>3</w:t>
      </w:r>
      <w:r>
        <w:rPr>
          <w:rFonts w:hint="eastAsia" w:asciiTheme="minorEastAsia" w:hAnsiTheme="minorEastAsia" w:eastAsiaTheme="minorEastAsia"/>
          <w:color w:val="auto"/>
          <w:highlight w:val="none"/>
        </w:rPr>
        <w:t xml:space="preserve"> 执行标准</w:t>
      </w:r>
      <w:r>
        <w:rPr>
          <w:color w:val="auto"/>
          <w:highlight w:val="none"/>
        </w:rPr>
        <w:tab/>
      </w:r>
      <w:r>
        <w:rPr>
          <w:color w:val="auto"/>
          <w:highlight w:val="none"/>
        </w:rPr>
        <w:fldChar w:fldCharType="begin"/>
      </w:r>
      <w:r>
        <w:rPr>
          <w:color w:val="auto"/>
          <w:highlight w:val="none"/>
        </w:rPr>
        <w:instrText xml:space="preserve"> PAGEREF _Toc21525 \h </w:instrText>
      </w:r>
      <w:r>
        <w:rPr>
          <w:color w:val="auto"/>
          <w:highlight w:val="none"/>
        </w:rPr>
        <w:fldChar w:fldCharType="separate"/>
      </w:r>
      <w:r>
        <w:rPr>
          <w:color w:val="auto"/>
          <w:highlight w:val="none"/>
        </w:rPr>
        <w:t>1</w:t>
      </w:r>
      <w:r>
        <w:rPr>
          <w:color w:val="auto"/>
          <w:highlight w:val="none"/>
        </w:rPr>
        <w:fldChar w:fldCharType="end"/>
      </w:r>
      <w:r>
        <w:rPr>
          <w:color w:val="auto"/>
          <w:highlight w:val="none"/>
        </w:rPr>
        <w:fldChar w:fldCharType="end"/>
      </w:r>
    </w:p>
    <w:p>
      <w:pPr>
        <w:pStyle w:val="19"/>
        <w:tabs>
          <w:tab w:val="right" w:leader="dot" w:pos="8306"/>
        </w:tabs>
        <w:rPr>
          <w:color w:val="auto"/>
          <w:highlight w:val="none"/>
        </w:rPr>
      </w:pPr>
      <w:r>
        <w:rPr>
          <w:color w:val="auto"/>
          <w:highlight w:val="none"/>
        </w:rPr>
        <w:fldChar w:fldCharType="begin"/>
      </w:r>
      <w:r>
        <w:rPr>
          <w:color w:val="auto"/>
          <w:highlight w:val="none"/>
        </w:rPr>
        <w:instrText xml:space="preserve"> HYPERLINK \l "_Toc28436" </w:instrText>
      </w:r>
      <w:r>
        <w:rPr>
          <w:color w:val="auto"/>
          <w:highlight w:val="none"/>
        </w:rPr>
        <w:fldChar w:fldCharType="separate"/>
      </w:r>
      <w:r>
        <w:rPr>
          <w:rFonts w:asciiTheme="minorEastAsia" w:hAnsiTheme="minorEastAsia" w:eastAsiaTheme="minorEastAsia"/>
          <w:color w:val="auto"/>
          <w:highlight w:val="none"/>
        </w:rPr>
        <w:t xml:space="preserve">4 </w:t>
      </w:r>
      <w:r>
        <w:rPr>
          <w:rFonts w:hint="eastAsia" w:asciiTheme="minorEastAsia" w:hAnsiTheme="minorEastAsia" w:eastAsiaTheme="minorEastAsia"/>
          <w:color w:val="auto"/>
          <w:highlight w:val="none"/>
        </w:rPr>
        <w:t>参加竞争性谈判要求</w:t>
      </w:r>
      <w:r>
        <w:rPr>
          <w:color w:val="auto"/>
          <w:highlight w:val="none"/>
        </w:rPr>
        <w:tab/>
      </w:r>
      <w:r>
        <w:rPr>
          <w:color w:val="auto"/>
          <w:highlight w:val="none"/>
        </w:rPr>
        <w:fldChar w:fldCharType="begin"/>
      </w:r>
      <w:r>
        <w:rPr>
          <w:color w:val="auto"/>
          <w:highlight w:val="none"/>
        </w:rPr>
        <w:instrText xml:space="preserve"> PAGEREF _Toc28436 \h </w:instrText>
      </w:r>
      <w:r>
        <w:rPr>
          <w:color w:val="auto"/>
          <w:highlight w:val="none"/>
        </w:rPr>
        <w:fldChar w:fldCharType="separate"/>
      </w:r>
      <w:r>
        <w:rPr>
          <w:color w:val="auto"/>
          <w:highlight w:val="none"/>
        </w:rPr>
        <w:t>2</w:t>
      </w:r>
      <w:r>
        <w:rPr>
          <w:color w:val="auto"/>
          <w:highlight w:val="none"/>
        </w:rPr>
        <w:fldChar w:fldCharType="end"/>
      </w:r>
      <w:r>
        <w:rPr>
          <w:color w:val="auto"/>
          <w:highlight w:val="none"/>
        </w:rPr>
        <w:fldChar w:fldCharType="end"/>
      </w:r>
    </w:p>
    <w:p>
      <w:pPr>
        <w:pStyle w:val="19"/>
        <w:tabs>
          <w:tab w:val="right" w:leader="dot" w:pos="8306"/>
        </w:tabs>
        <w:rPr>
          <w:color w:val="auto"/>
          <w:highlight w:val="none"/>
        </w:rPr>
      </w:pPr>
      <w:r>
        <w:rPr>
          <w:color w:val="auto"/>
          <w:highlight w:val="none"/>
        </w:rPr>
        <w:fldChar w:fldCharType="begin"/>
      </w:r>
      <w:r>
        <w:rPr>
          <w:color w:val="auto"/>
          <w:highlight w:val="none"/>
        </w:rPr>
        <w:instrText xml:space="preserve"> HYPERLINK \l "_Toc3683" </w:instrText>
      </w:r>
      <w:r>
        <w:rPr>
          <w:color w:val="auto"/>
          <w:highlight w:val="none"/>
        </w:rPr>
        <w:fldChar w:fldCharType="separate"/>
      </w:r>
      <w:r>
        <w:rPr>
          <w:rFonts w:asciiTheme="minorEastAsia" w:hAnsiTheme="minorEastAsia" w:eastAsiaTheme="minorEastAsia"/>
          <w:color w:val="auto"/>
          <w:highlight w:val="none"/>
        </w:rPr>
        <w:t>5</w:t>
      </w:r>
      <w:r>
        <w:rPr>
          <w:rFonts w:hint="eastAsia" w:asciiTheme="minorEastAsia" w:hAnsiTheme="minorEastAsia" w:eastAsiaTheme="minorEastAsia"/>
          <w:color w:val="auto"/>
          <w:highlight w:val="none"/>
        </w:rPr>
        <w:t xml:space="preserve"> 谈判时间和地点</w:t>
      </w:r>
      <w:r>
        <w:rPr>
          <w:color w:val="auto"/>
          <w:highlight w:val="none"/>
        </w:rPr>
        <w:tab/>
      </w:r>
      <w:r>
        <w:rPr>
          <w:color w:val="auto"/>
          <w:highlight w:val="none"/>
        </w:rPr>
        <w:fldChar w:fldCharType="begin"/>
      </w:r>
      <w:r>
        <w:rPr>
          <w:color w:val="auto"/>
          <w:highlight w:val="none"/>
        </w:rPr>
        <w:instrText xml:space="preserve"> PAGEREF _Toc3683 \h </w:instrText>
      </w:r>
      <w:r>
        <w:rPr>
          <w:color w:val="auto"/>
          <w:highlight w:val="none"/>
        </w:rPr>
        <w:fldChar w:fldCharType="separate"/>
      </w:r>
      <w:r>
        <w:rPr>
          <w:color w:val="auto"/>
          <w:highlight w:val="none"/>
        </w:rPr>
        <w:t>2</w:t>
      </w:r>
      <w:r>
        <w:rPr>
          <w:color w:val="auto"/>
          <w:highlight w:val="none"/>
        </w:rPr>
        <w:fldChar w:fldCharType="end"/>
      </w:r>
      <w:r>
        <w:rPr>
          <w:color w:val="auto"/>
          <w:highlight w:val="none"/>
        </w:rPr>
        <w:fldChar w:fldCharType="end"/>
      </w:r>
    </w:p>
    <w:p>
      <w:pPr>
        <w:pStyle w:val="19"/>
        <w:tabs>
          <w:tab w:val="right" w:leader="dot" w:pos="8306"/>
        </w:tabs>
        <w:rPr>
          <w:color w:val="auto"/>
          <w:highlight w:val="none"/>
        </w:rPr>
      </w:pPr>
      <w:r>
        <w:rPr>
          <w:color w:val="auto"/>
          <w:highlight w:val="none"/>
        </w:rPr>
        <w:fldChar w:fldCharType="begin"/>
      </w:r>
      <w:r>
        <w:rPr>
          <w:color w:val="auto"/>
          <w:highlight w:val="none"/>
        </w:rPr>
        <w:instrText xml:space="preserve"> HYPERLINK \l "_Toc3972" </w:instrText>
      </w:r>
      <w:r>
        <w:rPr>
          <w:color w:val="auto"/>
          <w:highlight w:val="none"/>
        </w:rPr>
        <w:fldChar w:fldCharType="separate"/>
      </w:r>
      <w:r>
        <w:rPr>
          <w:rFonts w:asciiTheme="minorEastAsia" w:hAnsiTheme="minorEastAsia" w:eastAsiaTheme="minorEastAsia"/>
          <w:color w:val="auto"/>
          <w:highlight w:val="none"/>
        </w:rPr>
        <w:t>6</w:t>
      </w:r>
      <w:r>
        <w:rPr>
          <w:rFonts w:hint="eastAsia" w:asciiTheme="minorEastAsia" w:hAnsiTheme="minorEastAsia" w:eastAsiaTheme="minorEastAsia"/>
          <w:color w:val="auto"/>
          <w:highlight w:val="none"/>
        </w:rPr>
        <w:t xml:space="preserve"> 基本规则</w:t>
      </w:r>
      <w:r>
        <w:rPr>
          <w:color w:val="auto"/>
          <w:highlight w:val="none"/>
        </w:rPr>
        <w:tab/>
      </w:r>
      <w:r>
        <w:rPr>
          <w:color w:val="auto"/>
          <w:highlight w:val="none"/>
        </w:rPr>
        <w:fldChar w:fldCharType="begin"/>
      </w:r>
      <w:r>
        <w:rPr>
          <w:color w:val="auto"/>
          <w:highlight w:val="none"/>
        </w:rPr>
        <w:instrText xml:space="preserve"> PAGEREF _Toc3972 \h </w:instrText>
      </w:r>
      <w:r>
        <w:rPr>
          <w:color w:val="auto"/>
          <w:highlight w:val="none"/>
        </w:rPr>
        <w:fldChar w:fldCharType="separate"/>
      </w:r>
      <w:r>
        <w:rPr>
          <w:color w:val="auto"/>
          <w:highlight w:val="none"/>
        </w:rPr>
        <w:t>2</w:t>
      </w:r>
      <w:r>
        <w:rPr>
          <w:color w:val="auto"/>
          <w:highlight w:val="none"/>
        </w:rPr>
        <w:fldChar w:fldCharType="end"/>
      </w:r>
      <w:r>
        <w:rPr>
          <w:color w:val="auto"/>
          <w:highlight w:val="none"/>
        </w:rPr>
        <w:fldChar w:fldCharType="end"/>
      </w:r>
    </w:p>
    <w:p>
      <w:pPr>
        <w:pStyle w:val="19"/>
        <w:tabs>
          <w:tab w:val="right" w:leader="dot" w:pos="8306"/>
        </w:tabs>
        <w:rPr>
          <w:color w:val="auto"/>
          <w:highlight w:val="none"/>
        </w:rPr>
      </w:pPr>
      <w:r>
        <w:rPr>
          <w:color w:val="auto"/>
          <w:highlight w:val="none"/>
        </w:rPr>
        <w:fldChar w:fldCharType="begin"/>
      </w:r>
      <w:r>
        <w:rPr>
          <w:color w:val="auto"/>
          <w:highlight w:val="none"/>
        </w:rPr>
        <w:instrText xml:space="preserve"> HYPERLINK \l "_Toc7973" </w:instrText>
      </w:r>
      <w:r>
        <w:rPr>
          <w:color w:val="auto"/>
          <w:highlight w:val="none"/>
        </w:rPr>
        <w:fldChar w:fldCharType="separate"/>
      </w:r>
      <w:r>
        <w:rPr>
          <w:rFonts w:asciiTheme="minorEastAsia" w:hAnsiTheme="minorEastAsia" w:eastAsiaTheme="minorEastAsia"/>
          <w:color w:val="auto"/>
          <w:highlight w:val="none"/>
        </w:rPr>
        <w:t>7</w:t>
      </w:r>
      <w:r>
        <w:rPr>
          <w:rFonts w:hint="eastAsia" w:asciiTheme="minorEastAsia" w:hAnsiTheme="minorEastAsia" w:eastAsiaTheme="minorEastAsia"/>
          <w:color w:val="auto"/>
          <w:highlight w:val="none"/>
        </w:rPr>
        <w:t xml:space="preserve"> 资料与保密</w:t>
      </w:r>
      <w:r>
        <w:rPr>
          <w:color w:val="auto"/>
          <w:highlight w:val="none"/>
        </w:rPr>
        <w:tab/>
      </w:r>
      <w:r>
        <w:rPr>
          <w:color w:val="auto"/>
          <w:highlight w:val="none"/>
        </w:rPr>
        <w:fldChar w:fldCharType="begin"/>
      </w:r>
      <w:r>
        <w:rPr>
          <w:color w:val="auto"/>
          <w:highlight w:val="none"/>
        </w:rPr>
        <w:instrText xml:space="preserve"> PAGEREF _Toc7973 \h </w:instrText>
      </w:r>
      <w:r>
        <w:rPr>
          <w:color w:val="auto"/>
          <w:highlight w:val="none"/>
        </w:rPr>
        <w:fldChar w:fldCharType="separate"/>
      </w:r>
      <w:r>
        <w:rPr>
          <w:color w:val="auto"/>
          <w:highlight w:val="none"/>
        </w:rPr>
        <w:t>7</w:t>
      </w:r>
      <w:r>
        <w:rPr>
          <w:color w:val="auto"/>
          <w:highlight w:val="none"/>
        </w:rPr>
        <w:fldChar w:fldCharType="end"/>
      </w:r>
      <w:r>
        <w:rPr>
          <w:color w:val="auto"/>
          <w:highlight w:val="none"/>
        </w:rPr>
        <w:fldChar w:fldCharType="end"/>
      </w:r>
    </w:p>
    <w:p>
      <w:pPr>
        <w:pStyle w:val="19"/>
        <w:tabs>
          <w:tab w:val="right" w:leader="dot" w:pos="8306"/>
        </w:tabs>
        <w:rPr>
          <w:color w:val="auto"/>
          <w:highlight w:val="none"/>
        </w:rPr>
      </w:pPr>
      <w:r>
        <w:rPr>
          <w:color w:val="auto"/>
          <w:highlight w:val="none"/>
        </w:rPr>
        <w:fldChar w:fldCharType="begin"/>
      </w:r>
      <w:r>
        <w:rPr>
          <w:color w:val="auto"/>
          <w:highlight w:val="none"/>
        </w:rPr>
        <w:instrText xml:space="preserve"> HYPERLINK \l "_Toc26275" </w:instrText>
      </w:r>
      <w:r>
        <w:rPr>
          <w:color w:val="auto"/>
          <w:highlight w:val="none"/>
        </w:rPr>
        <w:fldChar w:fldCharType="separate"/>
      </w:r>
      <w:r>
        <w:rPr>
          <w:rFonts w:asciiTheme="minorEastAsia" w:hAnsiTheme="minorEastAsia" w:eastAsiaTheme="minorEastAsia"/>
          <w:color w:val="auto"/>
          <w:highlight w:val="none"/>
        </w:rPr>
        <w:t>8</w:t>
      </w:r>
      <w:r>
        <w:rPr>
          <w:rFonts w:hint="eastAsia" w:asciiTheme="minorEastAsia" w:hAnsiTheme="minorEastAsia" w:eastAsiaTheme="minorEastAsia"/>
          <w:color w:val="auto"/>
          <w:highlight w:val="none"/>
        </w:rPr>
        <w:t xml:space="preserve"> 意向书格式及要求</w:t>
      </w:r>
      <w:r>
        <w:rPr>
          <w:color w:val="auto"/>
          <w:highlight w:val="none"/>
        </w:rPr>
        <w:tab/>
      </w:r>
      <w:r>
        <w:rPr>
          <w:color w:val="auto"/>
          <w:highlight w:val="none"/>
        </w:rPr>
        <w:fldChar w:fldCharType="begin"/>
      </w:r>
      <w:r>
        <w:rPr>
          <w:color w:val="auto"/>
          <w:highlight w:val="none"/>
        </w:rPr>
        <w:instrText xml:space="preserve"> PAGEREF _Toc26275 \h </w:instrText>
      </w:r>
      <w:r>
        <w:rPr>
          <w:color w:val="auto"/>
          <w:highlight w:val="none"/>
        </w:rPr>
        <w:fldChar w:fldCharType="separate"/>
      </w:r>
      <w:r>
        <w:rPr>
          <w:color w:val="auto"/>
          <w:highlight w:val="none"/>
        </w:rPr>
        <w:t>7</w:t>
      </w:r>
      <w:r>
        <w:rPr>
          <w:color w:val="auto"/>
          <w:highlight w:val="none"/>
        </w:rPr>
        <w:fldChar w:fldCharType="end"/>
      </w:r>
      <w:r>
        <w:rPr>
          <w:color w:val="auto"/>
          <w:highlight w:val="none"/>
        </w:rPr>
        <w:fldChar w:fldCharType="end"/>
      </w:r>
    </w:p>
    <w:p>
      <w:pPr>
        <w:pStyle w:val="19"/>
        <w:tabs>
          <w:tab w:val="right" w:leader="dot" w:pos="8306"/>
        </w:tabs>
        <w:rPr>
          <w:color w:val="auto"/>
          <w:highlight w:val="none"/>
        </w:rPr>
      </w:pPr>
      <w:r>
        <w:rPr>
          <w:color w:val="auto"/>
          <w:highlight w:val="none"/>
        </w:rPr>
        <w:fldChar w:fldCharType="begin"/>
      </w:r>
      <w:r>
        <w:rPr>
          <w:color w:val="auto"/>
          <w:highlight w:val="none"/>
        </w:rPr>
        <w:instrText xml:space="preserve"> HYPERLINK \l "_Toc24247" </w:instrText>
      </w:r>
      <w:r>
        <w:rPr>
          <w:color w:val="auto"/>
          <w:highlight w:val="none"/>
        </w:rPr>
        <w:fldChar w:fldCharType="separate"/>
      </w:r>
      <w:r>
        <w:rPr>
          <w:rFonts w:asciiTheme="minorEastAsia" w:hAnsiTheme="minorEastAsia" w:eastAsiaTheme="minorEastAsia"/>
          <w:color w:val="auto"/>
          <w:highlight w:val="none"/>
        </w:rPr>
        <w:t>9</w:t>
      </w:r>
      <w:r>
        <w:rPr>
          <w:rFonts w:hint="eastAsia" w:asciiTheme="minorEastAsia" w:hAnsiTheme="minorEastAsia" w:eastAsiaTheme="minorEastAsia"/>
          <w:color w:val="auto"/>
          <w:highlight w:val="none"/>
        </w:rPr>
        <w:t xml:space="preserve"> 其他</w:t>
      </w:r>
      <w:r>
        <w:rPr>
          <w:color w:val="auto"/>
          <w:highlight w:val="none"/>
        </w:rPr>
        <w:tab/>
      </w:r>
      <w:r>
        <w:rPr>
          <w:color w:val="auto"/>
          <w:highlight w:val="none"/>
        </w:rPr>
        <w:fldChar w:fldCharType="begin"/>
      </w:r>
      <w:r>
        <w:rPr>
          <w:color w:val="auto"/>
          <w:highlight w:val="none"/>
        </w:rPr>
        <w:instrText xml:space="preserve"> PAGEREF _Toc24247 \h </w:instrText>
      </w:r>
      <w:r>
        <w:rPr>
          <w:color w:val="auto"/>
          <w:highlight w:val="none"/>
        </w:rPr>
        <w:fldChar w:fldCharType="separate"/>
      </w:r>
      <w:r>
        <w:rPr>
          <w:color w:val="auto"/>
          <w:highlight w:val="none"/>
        </w:rPr>
        <w:t>7</w:t>
      </w:r>
      <w:r>
        <w:rPr>
          <w:color w:val="auto"/>
          <w:highlight w:val="none"/>
        </w:rPr>
        <w:fldChar w:fldCharType="end"/>
      </w:r>
      <w:r>
        <w:rPr>
          <w:color w:val="auto"/>
          <w:highlight w:val="none"/>
        </w:rPr>
        <w:fldChar w:fldCharType="end"/>
      </w:r>
    </w:p>
    <w:p>
      <w:pPr>
        <w:pStyle w:val="19"/>
        <w:tabs>
          <w:tab w:val="right" w:leader="dot" w:pos="8306"/>
        </w:tabs>
        <w:rPr>
          <w:color w:val="auto"/>
          <w:highlight w:val="none"/>
        </w:rPr>
      </w:pPr>
      <w:r>
        <w:rPr>
          <w:color w:val="auto"/>
          <w:highlight w:val="none"/>
        </w:rPr>
        <w:fldChar w:fldCharType="begin"/>
      </w:r>
      <w:r>
        <w:rPr>
          <w:color w:val="auto"/>
          <w:highlight w:val="none"/>
        </w:rPr>
        <w:instrText xml:space="preserve"> HYPERLINK \l "_Toc13761" </w:instrText>
      </w:r>
      <w:r>
        <w:rPr>
          <w:color w:val="auto"/>
          <w:highlight w:val="none"/>
        </w:rPr>
        <w:fldChar w:fldCharType="separate"/>
      </w:r>
      <w:r>
        <w:rPr>
          <w:rFonts w:hint="eastAsia" w:asciiTheme="minorEastAsia" w:hAnsiTheme="minorEastAsia" w:eastAsiaTheme="minorEastAsia"/>
          <w:color w:val="auto"/>
          <w:highlight w:val="none"/>
        </w:rPr>
        <w:t>附件：意向书格式及要求</w:t>
      </w:r>
      <w:r>
        <w:rPr>
          <w:color w:val="auto"/>
          <w:highlight w:val="none"/>
        </w:rPr>
        <w:tab/>
      </w:r>
      <w:r>
        <w:rPr>
          <w:color w:val="auto"/>
          <w:highlight w:val="none"/>
        </w:rPr>
        <w:fldChar w:fldCharType="begin"/>
      </w:r>
      <w:r>
        <w:rPr>
          <w:color w:val="auto"/>
          <w:highlight w:val="none"/>
        </w:rPr>
        <w:instrText xml:space="preserve"> PAGEREF _Toc13761 \h </w:instrText>
      </w:r>
      <w:r>
        <w:rPr>
          <w:color w:val="auto"/>
          <w:highlight w:val="none"/>
        </w:rPr>
        <w:fldChar w:fldCharType="separate"/>
      </w:r>
      <w:r>
        <w:rPr>
          <w:color w:val="auto"/>
          <w:highlight w:val="none"/>
        </w:rPr>
        <w:t>9</w:t>
      </w:r>
      <w:r>
        <w:rPr>
          <w:color w:val="auto"/>
          <w:highlight w:val="none"/>
        </w:rPr>
        <w:fldChar w:fldCharType="end"/>
      </w:r>
      <w:r>
        <w:rPr>
          <w:color w:val="auto"/>
          <w:highlight w:val="none"/>
        </w:rPr>
        <w:fldChar w:fldCharType="end"/>
      </w:r>
    </w:p>
    <w:p>
      <w:pPr>
        <w:pStyle w:val="19"/>
        <w:tabs>
          <w:tab w:val="right" w:leader="dot" w:pos="8296"/>
        </w:tabs>
        <w:rPr>
          <w:rStyle w:val="26"/>
          <w:rFonts w:hint="eastAsia" w:asciiTheme="minorEastAsia" w:hAnsiTheme="minorEastAsia"/>
          <w:color w:val="auto"/>
          <w:sz w:val="28"/>
          <w:szCs w:val="28"/>
          <w:highlight w:val="none"/>
        </w:rPr>
      </w:pPr>
      <w:r>
        <w:rPr>
          <w:rFonts w:asciiTheme="minorEastAsia" w:hAnsiTheme="minorEastAsia"/>
          <w:color w:val="auto"/>
          <w:szCs w:val="28"/>
          <w:highlight w:val="none"/>
        </w:rPr>
        <w:fldChar w:fldCharType="end"/>
      </w:r>
    </w:p>
    <w:p>
      <w:pPr>
        <w:rPr>
          <w:color w:val="auto"/>
          <w:highlight w:val="none"/>
        </w:rPr>
      </w:pPr>
    </w:p>
    <w:p>
      <w:pPr>
        <w:rPr>
          <w:color w:val="auto"/>
          <w:highlight w:val="none"/>
        </w:rPr>
      </w:pPr>
    </w:p>
    <w:p>
      <w:pPr>
        <w:widowControl/>
        <w:adjustRightInd/>
        <w:snapToGrid w:val="0"/>
        <w:spacing w:line="360" w:lineRule="auto"/>
        <w:jc w:val="left"/>
        <w:rPr>
          <w:color w:val="auto"/>
          <w:sz w:val="20"/>
          <w:highlight w:val="none"/>
        </w:rPr>
        <w:sectPr>
          <w:pgSz w:w="11906" w:h="16838"/>
          <w:pgMar w:top="1440" w:right="1800" w:bottom="1440" w:left="1800" w:header="851" w:footer="992" w:gutter="0"/>
          <w:pgNumType w:start="0"/>
          <w:cols w:space="720" w:num="1"/>
          <w:docGrid w:type="lines" w:linePitch="312" w:charSpace="0"/>
        </w:sectPr>
      </w:pPr>
    </w:p>
    <w:bookmarkEnd w:id="7"/>
    <w:bookmarkEnd w:id="8"/>
    <w:bookmarkEnd w:id="9"/>
    <w:bookmarkEnd w:id="10"/>
    <w:bookmarkEnd w:id="11"/>
    <w:p>
      <w:pPr>
        <w:pStyle w:val="2"/>
        <w:snapToGrid w:val="0"/>
        <w:spacing w:before="360" w:after="360" w:line="240" w:lineRule="auto"/>
        <w:rPr>
          <w:rFonts w:hint="eastAsia" w:asciiTheme="minorEastAsia" w:hAnsiTheme="minorEastAsia" w:eastAsiaTheme="minorEastAsia"/>
          <w:color w:val="auto"/>
          <w:sz w:val="28"/>
          <w:highlight w:val="none"/>
        </w:rPr>
      </w:pPr>
      <w:bookmarkStart w:id="12" w:name="_Toc8955"/>
      <w:bookmarkStart w:id="13" w:name="_Toc209977686"/>
      <w:bookmarkStart w:id="14" w:name="_Toc229886029"/>
      <w:bookmarkStart w:id="15" w:name="_Toc209977951"/>
      <w:bookmarkStart w:id="16" w:name="_Toc209977823"/>
      <w:bookmarkStart w:id="17" w:name="_Toc209977521"/>
      <w:r>
        <w:rPr>
          <w:rFonts w:hint="eastAsia" w:asciiTheme="minorEastAsia" w:hAnsiTheme="minorEastAsia" w:eastAsiaTheme="minorEastAsia"/>
          <w:color w:val="auto"/>
          <w:sz w:val="28"/>
          <w:highlight w:val="none"/>
        </w:rPr>
        <w:t>1 项目概况</w:t>
      </w:r>
      <w:bookmarkEnd w:id="12"/>
    </w:p>
    <w:p>
      <w:pPr>
        <w:snapToGrid w:val="0"/>
        <w:spacing w:line="360" w:lineRule="auto"/>
        <w:ind w:firstLine="422" w:firstLineChars="176"/>
        <w:rPr>
          <w:rFonts w:hint="eastAsia" w:ascii="宋体" w:hAnsi="宋体"/>
          <w:color w:val="auto"/>
          <w:sz w:val="24"/>
          <w:highlight w:val="none"/>
        </w:rPr>
      </w:pPr>
      <w:r>
        <w:rPr>
          <w:rFonts w:hint="eastAsia" w:hAnsi="宋体"/>
          <w:color w:val="auto"/>
          <w:sz w:val="24"/>
          <w:highlight w:val="none"/>
        </w:rPr>
        <w:t>项目名称：中石化石油物探技术研究院有限公司（以下简称物探院）2024年微地震地面监测野外</w:t>
      </w:r>
      <w:r>
        <w:rPr>
          <w:rFonts w:hint="eastAsia" w:ascii="宋体" w:hAnsi="宋体"/>
          <w:color w:val="auto"/>
          <w:sz w:val="24"/>
          <w:highlight w:val="none"/>
        </w:rPr>
        <w:t>联合施工框架协议。</w:t>
      </w:r>
    </w:p>
    <w:p>
      <w:pPr>
        <w:snapToGrid w:val="0"/>
        <w:spacing w:line="360" w:lineRule="auto"/>
        <w:ind w:firstLine="422" w:firstLineChars="176"/>
        <w:rPr>
          <w:rFonts w:hint="eastAsia" w:hAnsi="宋体"/>
          <w:color w:val="auto"/>
          <w:sz w:val="24"/>
          <w:highlight w:val="none"/>
        </w:rPr>
      </w:pPr>
      <w:r>
        <w:rPr>
          <w:rFonts w:hint="eastAsia" w:hAnsi="宋体"/>
          <w:color w:val="auto"/>
          <w:sz w:val="24"/>
          <w:highlight w:val="none"/>
        </w:rPr>
        <w:t>项目范围：为微地震地面监测野外施工提供配套作业支持服务，完成检波点测量放样、地面测线布设和回收整理、设备维护保养和损坏件更换、监测期间的测线巡查和故障排除、仪器操作、工农关系协调及因施工造成的青苗赔偿等工作。根据项目需要及委托方要求，提供</w:t>
      </w:r>
      <w:bookmarkStart w:id="18" w:name="_Hlk168565714"/>
      <w:r>
        <w:rPr>
          <w:rFonts w:hint="eastAsia" w:hAnsi="宋体"/>
          <w:color w:val="auto"/>
          <w:sz w:val="24"/>
          <w:highlight w:val="none"/>
        </w:rPr>
        <w:t>满足地面微地震监测野外施工所需的设备及人员，包括施工车辆、测量定位仪器、蓄电池（电瓶）等地震采集辅助设备及服务，必要时还需提供采集仪器主机、采集链及检波器。</w:t>
      </w:r>
      <w:bookmarkEnd w:id="18"/>
    </w:p>
    <w:bookmarkEnd w:id="13"/>
    <w:bookmarkEnd w:id="14"/>
    <w:bookmarkEnd w:id="15"/>
    <w:bookmarkEnd w:id="16"/>
    <w:bookmarkEnd w:id="17"/>
    <w:p>
      <w:pPr>
        <w:pStyle w:val="2"/>
        <w:snapToGrid w:val="0"/>
        <w:spacing w:before="360" w:after="360" w:line="240" w:lineRule="auto"/>
        <w:rPr>
          <w:rFonts w:hint="eastAsia" w:asciiTheme="minorEastAsia" w:hAnsiTheme="minorEastAsia" w:eastAsiaTheme="minorEastAsia"/>
          <w:color w:val="auto"/>
          <w:sz w:val="28"/>
          <w:highlight w:val="none"/>
        </w:rPr>
      </w:pPr>
      <w:bookmarkStart w:id="19" w:name="_Toc20802"/>
      <w:bookmarkStart w:id="20" w:name="_Toc209977522"/>
      <w:bookmarkStart w:id="21" w:name="_Toc209977952"/>
      <w:bookmarkStart w:id="22" w:name="_Toc209977687"/>
      <w:bookmarkStart w:id="23" w:name="_Toc209977824"/>
      <w:bookmarkStart w:id="24" w:name="_Toc229886030"/>
      <w:r>
        <w:rPr>
          <w:rFonts w:hint="eastAsia" w:asciiTheme="minorEastAsia" w:hAnsiTheme="minorEastAsia" w:eastAsiaTheme="minorEastAsia"/>
          <w:color w:val="auto"/>
          <w:sz w:val="28"/>
          <w:highlight w:val="none"/>
        </w:rPr>
        <w:t>2</w:t>
      </w:r>
      <w:r>
        <w:rPr>
          <w:rFonts w:asciiTheme="minorEastAsia" w:hAnsiTheme="minorEastAsia" w:eastAsiaTheme="minorEastAsia"/>
          <w:color w:val="auto"/>
          <w:sz w:val="28"/>
          <w:highlight w:val="none"/>
        </w:rPr>
        <w:t xml:space="preserve"> </w:t>
      </w:r>
      <w:r>
        <w:rPr>
          <w:rFonts w:hint="eastAsia" w:asciiTheme="minorEastAsia" w:hAnsiTheme="minorEastAsia" w:eastAsiaTheme="minorEastAsia"/>
          <w:color w:val="auto"/>
          <w:sz w:val="28"/>
          <w:highlight w:val="none"/>
        </w:rPr>
        <w:t>技术和服务要求</w:t>
      </w:r>
      <w:bookmarkEnd w:id="19"/>
    </w:p>
    <w:bookmarkEnd w:id="20"/>
    <w:bookmarkEnd w:id="21"/>
    <w:bookmarkEnd w:id="22"/>
    <w:bookmarkEnd w:id="23"/>
    <w:bookmarkEnd w:id="24"/>
    <w:p>
      <w:pPr>
        <w:snapToGrid w:val="0"/>
        <w:spacing w:line="360" w:lineRule="auto"/>
        <w:ind w:firstLine="480" w:firstLineChars="200"/>
        <w:rPr>
          <w:rFonts w:hint="eastAsia" w:hAnsi="宋体"/>
          <w:color w:val="auto"/>
          <w:sz w:val="24"/>
          <w:highlight w:val="none"/>
        </w:rPr>
      </w:pPr>
      <w:bookmarkStart w:id="25" w:name="_Toc21525"/>
      <w:bookmarkStart w:id="26" w:name="_Toc209977523"/>
      <w:bookmarkStart w:id="27" w:name="_Toc229886031"/>
      <w:bookmarkStart w:id="28" w:name="_Toc209977688"/>
      <w:bookmarkStart w:id="29" w:name="_Toc209977953"/>
      <w:bookmarkStart w:id="30" w:name="_Toc209977825"/>
      <w:r>
        <w:rPr>
          <w:rFonts w:hAnsi="宋体"/>
          <w:color w:val="auto"/>
          <w:sz w:val="24"/>
          <w:highlight w:val="none"/>
        </w:rPr>
        <w:t xml:space="preserve">2.1 </w:t>
      </w:r>
      <w:r>
        <w:rPr>
          <w:rFonts w:hint="eastAsia" w:hAnsi="宋体"/>
          <w:color w:val="auto"/>
          <w:sz w:val="24"/>
          <w:highlight w:val="none"/>
        </w:rPr>
        <w:t>能够提供满足微地震地面监测</w:t>
      </w:r>
      <w:r>
        <w:rPr>
          <w:rFonts w:hAnsi="宋体"/>
          <w:color w:val="auto"/>
          <w:sz w:val="24"/>
          <w:highlight w:val="none"/>
        </w:rPr>
        <w:t>项目野外数据采集施工所需的设备（包含</w:t>
      </w:r>
      <w:r>
        <w:rPr>
          <w:rFonts w:hint="eastAsia" w:hAnsi="宋体"/>
          <w:color w:val="auto"/>
          <w:sz w:val="24"/>
          <w:highlight w:val="none"/>
        </w:rPr>
        <w:t>采集仪器主机、采集链及检波器，还包括施工车辆、测量定位仪器、蓄电池（电瓶）等地震采集辅助设备及服务）及人员。</w:t>
      </w:r>
    </w:p>
    <w:p>
      <w:pPr>
        <w:snapToGrid w:val="0"/>
        <w:spacing w:line="360" w:lineRule="auto"/>
        <w:ind w:firstLine="480" w:firstLineChars="200"/>
        <w:rPr>
          <w:rFonts w:hint="eastAsia" w:hAnsi="宋体"/>
          <w:color w:val="auto"/>
          <w:sz w:val="24"/>
          <w:highlight w:val="none"/>
        </w:rPr>
      </w:pPr>
      <w:r>
        <w:rPr>
          <w:rFonts w:hAnsi="宋体"/>
          <w:color w:val="auto"/>
          <w:sz w:val="24"/>
          <w:highlight w:val="none"/>
        </w:rPr>
        <w:t>2.</w:t>
      </w:r>
      <w:r>
        <w:rPr>
          <w:rFonts w:hint="eastAsia" w:hAnsi="宋体"/>
          <w:color w:val="auto"/>
          <w:sz w:val="24"/>
          <w:highlight w:val="none"/>
        </w:rPr>
        <w:t>2应具备足够履行微地震地面监测野外施工的资质、条件和能力，完成检波点测量放样、地面测线布设和回收整理、设备维护保养和损坏件更换、监测期间的测线巡查和故障排除、仪器操作、工农关系协调及因施工造成的青苗赔偿等工作。</w:t>
      </w:r>
    </w:p>
    <w:p>
      <w:pPr>
        <w:snapToGrid w:val="0"/>
        <w:spacing w:line="360" w:lineRule="auto"/>
        <w:ind w:firstLine="422" w:firstLineChars="176"/>
        <w:rPr>
          <w:rFonts w:hint="eastAsia" w:hAnsi="宋体"/>
          <w:color w:val="auto"/>
          <w:sz w:val="24"/>
          <w:highlight w:val="none"/>
        </w:rPr>
      </w:pPr>
      <w:r>
        <w:rPr>
          <w:rFonts w:hint="eastAsia" w:hAnsi="宋体"/>
          <w:color w:val="auto"/>
          <w:sz w:val="24"/>
          <w:highlight w:val="none"/>
        </w:rPr>
        <w:t>2.3 竞争性谈判最高限价：</w:t>
      </w:r>
    </w:p>
    <w:p>
      <w:pPr>
        <w:snapToGrid w:val="0"/>
        <w:spacing w:line="360" w:lineRule="auto"/>
        <w:ind w:firstLine="422" w:firstLineChars="176"/>
        <w:rPr>
          <w:rFonts w:hint="eastAsia" w:hAnsi="宋体"/>
          <w:color w:val="auto"/>
          <w:sz w:val="24"/>
          <w:highlight w:val="none"/>
        </w:rPr>
      </w:pPr>
      <w:r>
        <w:rPr>
          <w:rFonts w:hint="eastAsia" w:hAnsi="宋体"/>
          <w:color w:val="auto"/>
          <w:sz w:val="24"/>
          <w:highlight w:val="none"/>
        </w:rPr>
        <w:t>（1）地面微地震监测野外施工起步价为290，000元（含税价，大写： 贰拾玖万元整）（含压裂工作时间10天、采集接收道数1200道），在此基础上接收排列每增加1道费用增加110元；压裂工作时间（不含收放线准备时间及停待时间）每增加1天费用增加5000元，压裂工作期间停待日费4000元，</w:t>
      </w:r>
      <w:bookmarkStart w:id="31" w:name="_Hlk168566768"/>
      <w:r>
        <w:rPr>
          <w:rFonts w:hint="eastAsia" w:hAnsi="宋体"/>
          <w:color w:val="auto"/>
          <w:sz w:val="24"/>
          <w:highlight w:val="none"/>
        </w:rPr>
        <w:t>单口封顶价为500，000元</w:t>
      </w:r>
      <w:bookmarkEnd w:id="31"/>
      <w:r>
        <w:rPr>
          <w:rFonts w:hint="eastAsia" w:hAnsi="宋体"/>
          <w:color w:val="auto"/>
          <w:sz w:val="24"/>
          <w:highlight w:val="none"/>
        </w:rPr>
        <w:t>（含税价，大写：伍拾万元整）。</w:t>
      </w:r>
    </w:p>
    <w:p>
      <w:pPr>
        <w:snapToGrid w:val="0"/>
        <w:spacing w:line="360" w:lineRule="auto"/>
        <w:ind w:firstLine="422" w:firstLineChars="176"/>
        <w:rPr>
          <w:rFonts w:hint="eastAsia" w:hAnsi="宋体"/>
          <w:color w:val="auto"/>
          <w:sz w:val="24"/>
          <w:highlight w:val="none"/>
        </w:rPr>
      </w:pPr>
      <w:r>
        <w:rPr>
          <w:rFonts w:hint="eastAsia" w:hAnsi="宋体"/>
          <w:color w:val="auto"/>
          <w:sz w:val="24"/>
          <w:highlight w:val="none"/>
        </w:rPr>
        <w:t>（2）若同一平台多口井连续施工，不涉及重新铺设排列及动迁。从第二口井开始，计算方式为采集总价Mn =（Tn）天 ×5000元/天。其中Tn为第一口井施工结束至第二口井施工结束时间。第二口井单口封顶价为200，000元（含税价，大写：贰拾万元整）。</w:t>
      </w:r>
    </w:p>
    <w:p>
      <w:pPr>
        <w:snapToGrid w:val="0"/>
        <w:spacing w:line="360" w:lineRule="auto"/>
        <w:ind w:firstLine="422" w:firstLineChars="176"/>
        <w:rPr>
          <w:rFonts w:hint="eastAsia" w:hAnsi="宋体"/>
          <w:color w:val="auto"/>
          <w:sz w:val="24"/>
          <w:highlight w:val="none"/>
        </w:rPr>
      </w:pPr>
    </w:p>
    <w:p>
      <w:pPr>
        <w:snapToGrid w:val="0"/>
        <w:spacing w:line="360" w:lineRule="auto"/>
        <w:ind w:firstLine="422" w:firstLineChars="176"/>
        <w:rPr>
          <w:rFonts w:hint="eastAsia" w:hAnsi="宋体"/>
          <w:color w:val="auto"/>
          <w:sz w:val="24"/>
          <w:highlight w:val="none"/>
        </w:rPr>
      </w:pPr>
      <w:r>
        <w:rPr>
          <w:rFonts w:hint="eastAsia" w:hAnsi="宋体"/>
          <w:color w:val="auto"/>
          <w:sz w:val="24"/>
          <w:highlight w:val="none"/>
        </w:rPr>
        <w:t>（3）若同一平台多口井连续施工，涉及重新铺设排列及动迁的，每口井单独计算，起步价为290，000元（含税价，大写： 贰拾玖万元整）（含压裂工作时间10天、采集接收道数1200道），在此基础上接收排列每增加1道费用增加110元；压裂工作时间（不含收放线准备时间及停待时间）每增加1天费用增加5000元，压裂工作期间停待日费4000元，单口封顶价为500，000元（含税价，大写：伍拾万元整）。</w:t>
      </w:r>
    </w:p>
    <w:p>
      <w:pPr>
        <w:snapToGrid w:val="0"/>
        <w:spacing w:line="360" w:lineRule="auto"/>
        <w:ind w:firstLine="422" w:firstLineChars="176"/>
        <w:rPr>
          <w:rFonts w:hint="eastAsia" w:hAnsi="宋体"/>
          <w:color w:val="auto"/>
          <w:sz w:val="24"/>
          <w:highlight w:val="none"/>
        </w:rPr>
      </w:pPr>
      <w:r>
        <w:rPr>
          <w:rFonts w:hint="eastAsia" w:hAnsi="宋体"/>
          <w:color w:val="auto"/>
          <w:sz w:val="24"/>
          <w:highlight w:val="none"/>
        </w:rPr>
        <w:t>（4）若需受托方提供采集仪器主机、采集链及检波器等设备时，在采集施工总价的基础上，增加仪器设备租赁费用。采集设备租赁日费按6.87元/道，即设备费用 M* = （T天 + 7天）× 采集设备有效接收道数× 6.87元。其中T为从开工验收到压裂结束时间，准备及收尾时间按固定天数 7 天计算，设备租赁封顶价为250，000元（含税价，大写：贰拾伍万元整）。</w:t>
      </w:r>
    </w:p>
    <w:p>
      <w:pPr>
        <w:snapToGrid w:val="0"/>
        <w:spacing w:line="360" w:lineRule="auto"/>
        <w:ind w:firstLine="422" w:firstLineChars="176"/>
        <w:rPr>
          <w:rFonts w:hint="eastAsia" w:hAnsi="宋体"/>
          <w:color w:val="auto"/>
          <w:sz w:val="24"/>
          <w:highlight w:val="none"/>
        </w:rPr>
      </w:pPr>
      <w:r>
        <w:rPr>
          <w:rFonts w:hint="eastAsia" w:hAnsi="宋体"/>
          <w:color w:val="auto"/>
          <w:sz w:val="24"/>
          <w:highlight w:val="none"/>
        </w:rPr>
        <w:t>（3）以上费用价格均为含税价格。</w:t>
      </w:r>
    </w:p>
    <w:p>
      <w:pPr>
        <w:snapToGrid w:val="0"/>
        <w:spacing w:line="360" w:lineRule="auto"/>
        <w:ind w:firstLine="480" w:firstLineChars="200"/>
        <w:rPr>
          <w:rFonts w:hint="eastAsia" w:hAnsi="宋体"/>
          <w:color w:val="auto"/>
          <w:sz w:val="24"/>
          <w:highlight w:val="none"/>
        </w:rPr>
      </w:pPr>
      <w:r>
        <w:rPr>
          <w:rFonts w:hint="eastAsia" w:hAnsi="宋体"/>
          <w:color w:val="auto"/>
          <w:sz w:val="24"/>
          <w:highlight w:val="none"/>
        </w:rPr>
        <w:t>2.4 其它注意事项</w:t>
      </w:r>
    </w:p>
    <w:p>
      <w:pPr>
        <w:snapToGrid w:val="0"/>
        <w:spacing w:line="360" w:lineRule="auto"/>
        <w:ind w:firstLine="480" w:firstLineChars="200"/>
        <w:rPr>
          <w:rFonts w:hint="eastAsia" w:hAnsi="宋体"/>
          <w:color w:val="auto"/>
          <w:sz w:val="24"/>
          <w:highlight w:val="none"/>
        </w:rPr>
      </w:pPr>
      <w:r>
        <w:rPr>
          <w:rFonts w:hint="eastAsia" w:hAnsi="宋体"/>
          <w:color w:val="auto"/>
          <w:sz w:val="24"/>
          <w:highlight w:val="none"/>
        </w:rPr>
        <w:t>微地震施工分为两种情况。一种是我公司提供508XL地震仪器和采集链、检波器（型号PS-10XS，单串12个），其它配套的车辆、测量仪器、电瓶等设备需施工队伍提供。计费方式即前述2.3节第（1）、（2）、（3）中的施工费。另外一种情况是我公司设备不足时，全部设备均由施工队伍提供，我公司增加采集链、检波器的设备租赁费用。计费方式除施工费外，还增加前述2.3节（4）中的设备租赁费用。</w:t>
      </w:r>
    </w:p>
    <w:p>
      <w:pPr>
        <w:snapToGrid w:val="0"/>
        <w:spacing w:line="360" w:lineRule="auto"/>
        <w:ind w:firstLine="480" w:firstLineChars="200"/>
        <w:rPr>
          <w:rFonts w:hint="eastAsia" w:hAnsi="宋体"/>
          <w:color w:val="auto"/>
          <w:sz w:val="24"/>
          <w:highlight w:val="none"/>
        </w:rPr>
      </w:pPr>
      <w:r>
        <w:rPr>
          <w:rFonts w:hint="eastAsia" w:hAnsi="宋体"/>
          <w:color w:val="auto"/>
          <w:sz w:val="24"/>
          <w:highlight w:val="none"/>
        </w:rPr>
        <w:t>微地震监测施工，监测道数一般为1000-2000道，分8-12条放射状或者网状测线施工，道距20-40m；数字地震仪器载道能力需要在2000道以上，采样率2ms，有线采集实时传输回仪器记录，传输速率满足实时传输要求。接收检波器一般采用单串12个检波器，铲去表层浮土后，挖坑20cm，堆埋，确保“平稳正直紧”的质量要求，所有接收点埋置前后需拍照备查。特殊情况下单个的数字检波器也可。</w:t>
      </w:r>
    </w:p>
    <w:p>
      <w:pPr>
        <w:snapToGrid w:val="0"/>
        <w:spacing w:line="360" w:lineRule="auto"/>
        <w:ind w:firstLine="480" w:firstLineChars="200"/>
        <w:rPr>
          <w:rFonts w:hint="eastAsia" w:hAnsi="宋体"/>
          <w:color w:val="auto"/>
          <w:sz w:val="24"/>
          <w:highlight w:val="none"/>
        </w:rPr>
      </w:pPr>
      <w:r>
        <w:rPr>
          <w:rFonts w:hint="eastAsia" w:hAnsi="宋体"/>
          <w:color w:val="auto"/>
          <w:sz w:val="24"/>
          <w:highlight w:val="none"/>
        </w:rPr>
        <w:t>微地震监测施工为被动接收，施工进度根据待监测井的压裂进度调整。施工地点多为四川、重庆等地区的山地。施工时间一般为压裂开工前一周通知，压裂前完成测量放样、排列铺设、查线等工作；单井10-40段不等，每天施工1-3段，每段压裂时长预计2-6小时。需完整记录射孔、及压裂施工全过程，施工队伍需配备充足的查线车辆和人员，及时更换电瓶和排除故障，保持测线畅通，根据设备状况还需配备充足的备用设备，一旦因设备故障，导致无法记录，将无法挽回数据损失。因压裂施工涉及多种工序协调配合，故有可能遇到排列铺设完成后，长时间停工等待的风险。意向单位报价时需充分考虑施工风险。</w:t>
      </w:r>
    </w:p>
    <w:p>
      <w:pPr>
        <w:pStyle w:val="2"/>
        <w:snapToGrid w:val="0"/>
        <w:spacing w:before="360" w:after="360" w:line="240" w:lineRule="auto"/>
        <w:rPr>
          <w:rFonts w:hint="eastAsia" w:asciiTheme="minorEastAsia" w:hAnsiTheme="minorEastAsia" w:eastAsiaTheme="minorEastAsia"/>
          <w:color w:val="auto"/>
          <w:sz w:val="28"/>
          <w:highlight w:val="none"/>
        </w:rPr>
      </w:pPr>
      <w:r>
        <w:rPr>
          <w:rFonts w:asciiTheme="minorEastAsia" w:hAnsiTheme="minorEastAsia" w:eastAsiaTheme="minorEastAsia"/>
          <w:color w:val="auto"/>
          <w:sz w:val="28"/>
          <w:highlight w:val="none"/>
        </w:rPr>
        <w:t>3</w:t>
      </w:r>
      <w:r>
        <w:rPr>
          <w:rFonts w:hint="eastAsia" w:asciiTheme="minorEastAsia" w:hAnsiTheme="minorEastAsia" w:eastAsiaTheme="minorEastAsia"/>
          <w:color w:val="auto"/>
          <w:sz w:val="28"/>
          <w:highlight w:val="none"/>
        </w:rPr>
        <w:t xml:space="preserve"> 执行标准</w:t>
      </w:r>
      <w:bookmarkEnd w:id="25"/>
    </w:p>
    <w:p>
      <w:pPr>
        <w:snapToGrid w:val="0"/>
        <w:spacing w:line="360" w:lineRule="auto"/>
        <w:ind w:firstLine="480" w:firstLineChars="200"/>
        <w:rPr>
          <w:rFonts w:hint="eastAsia" w:hAnsi="宋体"/>
          <w:color w:val="auto"/>
          <w:sz w:val="24"/>
          <w:highlight w:val="none"/>
        </w:rPr>
      </w:pPr>
      <w:r>
        <w:rPr>
          <w:rFonts w:hint="eastAsia" w:hAnsi="宋体"/>
          <w:color w:val="auto"/>
          <w:sz w:val="24"/>
          <w:highlight w:val="none"/>
        </w:rPr>
        <w:t>参照最新国标、石油天然气行业标准和中国石化企业标准执行。</w:t>
      </w:r>
    </w:p>
    <w:p>
      <w:pPr>
        <w:pStyle w:val="2"/>
        <w:snapToGrid w:val="0"/>
        <w:spacing w:before="360" w:after="360" w:line="240" w:lineRule="auto"/>
        <w:rPr>
          <w:rFonts w:hint="eastAsia" w:asciiTheme="minorEastAsia" w:hAnsiTheme="minorEastAsia" w:eastAsiaTheme="minorEastAsia"/>
          <w:color w:val="auto"/>
          <w:sz w:val="28"/>
          <w:highlight w:val="none"/>
        </w:rPr>
      </w:pPr>
      <w:bookmarkStart w:id="32" w:name="_Toc28436"/>
      <w:r>
        <w:rPr>
          <w:rFonts w:asciiTheme="minorEastAsia" w:hAnsiTheme="minorEastAsia" w:eastAsiaTheme="minorEastAsia"/>
          <w:color w:val="auto"/>
          <w:sz w:val="28"/>
          <w:highlight w:val="none"/>
        </w:rPr>
        <w:t xml:space="preserve">4 </w:t>
      </w:r>
      <w:r>
        <w:rPr>
          <w:rFonts w:hint="eastAsia" w:asciiTheme="minorEastAsia" w:hAnsiTheme="minorEastAsia" w:eastAsiaTheme="minorEastAsia"/>
          <w:color w:val="auto"/>
          <w:sz w:val="28"/>
          <w:highlight w:val="none"/>
        </w:rPr>
        <w:t>参加竞争性谈判要求</w:t>
      </w:r>
      <w:bookmarkEnd w:id="0"/>
      <w:bookmarkEnd w:id="26"/>
      <w:bookmarkEnd w:id="27"/>
      <w:bookmarkEnd w:id="28"/>
      <w:bookmarkEnd w:id="29"/>
      <w:bookmarkEnd w:id="30"/>
      <w:bookmarkEnd w:id="32"/>
    </w:p>
    <w:p>
      <w:pPr>
        <w:adjustRightInd/>
        <w:spacing w:line="360" w:lineRule="auto"/>
        <w:ind w:firstLine="480" w:firstLineChars="200"/>
        <w:rPr>
          <w:rFonts w:hint="eastAsia" w:hAnsi="宋体"/>
          <w:color w:val="auto"/>
          <w:sz w:val="24"/>
          <w:highlight w:val="none"/>
        </w:rPr>
      </w:pPr>
      <w:r>
        <w:rPr>
          <w:rFonts w:hint="eastAsia" w:hAnsi="宋体"/>
          <w:color w:val="auto"/>
          <w:sz w:val="24"/>
          <w:highlight w:val="none"/>
        </w:rPr>
        <w:t>有意向参加竞争性谈判的单位如果接受邀请，须在规定时间内复函《竞争性谈判邀请函》，明确贵单位是否参加谈判，并提交意向书和《回复邀请函》原件。</w:t>
      </w:r>
    </w:p>
    <w:p>
      <w:pPr>
        <w:adjustRightInd/>
        <w:spacing w:line="360" w:lineRule="auto"/>
        <w:ind w:firstLine="480" w:firstLineChars="200"/>
        <w:rPr>
          <w:rFonts w:hint="eastAsia" w:hAnsi="宋体"/>
          <w:color w:val="auto"/>
          <w:sz w:val="24"/>
          <w:highlight w:val="none"/>
        </w:rPr>
      </w:pPr>
      <w:r>
        <w:rPr>
          <w:rFonts w:hint="eastAsia" w:hAnsi="宋体"/>
          <w:color w:val="auto"/>
          <w:sz w:val="24"/>
          <w:highlight w:val="none"/>
        </w:rPr>
        <w:t>提交意向书时必须同时单独提交完整资质材料，包括营业执照、授权委托书、管理体系认证书、人员资质、软硬件设备信息和近三年业绩等材料。</w:t>
      </w:r>
    </w:p>
    <w:p>
      <w:pPr>
        <w:adjustRightInd/>
        <w:spacing w:line="360" w:lineRule="auto"/>
        <w:ind w:firstLine="480" w:firstLineChars="200"/>
        <w:rPr>
          <w:rFonts w:hint="eastAsia" w:hAnsi="宋体"/>
          <w:color w:val="auto"/>
          <w:sz w:val="24"/>
          <w:highlight w:val="none"/>
        </w:rPr>
      </w:pPr>
      <w:r>
        <w:rPr>
          <w:rFonts w:hint="eastAsia" w:hAnsi="宋体"/>
          <w:color w:val="auto"/>
          <w:sz w:val="24"/>
          <w:highlight w:val="none"/>
        </w:rPr>
        <w:t>意向书必须包括技术部分和商务部分。</w:t>
      </w:r>
    </w:p>
    <w:p>
      <w:pPr>
        <w:adjustRightInd/>
        <w:spacing w:line="360" w:lineRule="auto"/>
        <w:ind w:firstLine="480" w:firstLineChars="200"/>
        <w:rPr>
          <w:rFonts w:hint="eastAsia" w:hAnsi="宋体"/>
          <w:color w:val="auto"/>
          <w:sz w:val="24"/>
          <w:highlight w:val="none"/>
        </w:rPr>
      </w:pPr>
      <w:r>
        <w:rPr>
          <w:rFonts w:hint="eastAsia" w:hAnsi="宋体"/>
          <w:color w:val="auto"/>
          <w:sz w:val="24"/>
          <w:highlight w:val="none"/>
        </w:rPr>
        <w:t>意向方必须严格按邀请方规定的时间、地点和其它要求参加谈判。</w:t>
      </w:r>
    </w:p>
    <w:p>
      <w:pPr>
        <w:adjustRightInd/>
        <w:spacing w:line="360" w:lineRule="auto"/>
        <w:ind w:firstLine="480" w:firstLineChars="200"/>
        <w:rPr>
          <w:rFonts w:hint="eastAsia" w:hAnsi="宋体"/>
          <w:color w:val="auto"/>
          <w:sz w:val="24"/>
          <w:highlight w:val="none"/>
        </w:rPr>
      </w:pPr>
      <w:r>
        <w:rPr>
          <w:rFonts w:hint="eastAsia" w:hAnsi="宋体"/>
          <w:color w:val="auto"/>
          <w:sz w:val="24"/>
          <w:highlight w:val="none"/>
        </w:rPr>
        <w:t>邀请方不接受任何口头、电话或电报类的意向说明。</w:t>
      </w:r>
    </w:p>
    <w:p>
      <w:pPr>
        <w:adjustRightInd/>
        <w:spacing w:line="360" w:lineRule="auto"/>
        <w:ind w:firstLine="480" w:firstLineChars="200"/>
        <w:rPr>
          <w:rFonts w:hint="eastAsia" w:hAnsi="宋体"/>
          <w:color w:val="auto"/>
          <w:sz w:val="24"/>
          <w:highlight w:val="none"/>
        </w:rPr>
      </w:pPr>
      <w:r>
        <w:rPr>
          <w:rFonts w:hint="eastAsia" w:hAnsi="宋体"/>
          <w:color w:val="auto"/>
          <w:sz w:val="24"/>
          <w:highlight w:val="none"/>
        </w:rPr>
        <w:t>意向书和资质材料送达或寄达中石化石油物探技术研究院有限公司技术推广部，截止时间是</w:t>
      </w:r>
      <w:r>
        <w:rPr>
          <w:rFonts w:hint="eastAsia" w:hAnsi="宋体"/>
          <w:color w:val="auto"/>
          <w:sz w:val="24"/>
          <w:highlight w:val="none"/>
        </w:rPr>
        <w:t>谈判</w:t>
      </w:r>
      <w:r>
        <w:rPr>
          <w:rFonts w:hint="eastAsia" w:hAnsi="宋体"/>
          <w:color w:val="auto"/>
          <w:sz w:val="24"/>
          <w:highlight w:val="none"/>
          <w:lang w:val="en-US" w:eastAsia="zh-CN"/>
        </w:rPr>
        <w:t>前一</w:t>
      </w:r>
      <w:r>
        <w:rPr>
          <w:rFonts w:hint="eastAsia" w:hAnsi="宋体"/>
          <w:color w:val="auto"/>
          <w:sz w:val="24"/>
          <w:highlight w:val="none"/>
        </w:rPr>
        <w:t>天1</w:t>
      </w:r>
      <w:r>
        <w:rPr>
          <w:rFonts w:hint="eastAsia" w:hAnsi="宋体"/>
          <w:color w:val="auto"/>
          <w:sz w:val="24"/>
          <w:highlight w:val="none"/>
          <w:lang w:val="en-US" w:eastAsia="zh-CN"/>
        </w:rPr>
        <w:t>7</w:t>
      </w:r>
      <w:r>
        <w:rPr>
          <w:rFonts w:hint="eastAsia" w:hAnsi="宋体"/>
          <w:color w:val="auto"/>
          <w:sz w:val="24"/>
          <w:highlight w:val="none"/>
        </w:rPr>
        <w:t>:00前</w:t>
      </w:r>
      <w:r>
        <w:rPr>
          <w:rFonts w:hint="eastAsia" w:hAnsi="宋体"/>
          <w:color w:val="auto"/>
          <w:sz w:val="24"/>
          <w:highlight w:val="none"/>
        </w:rPr>
        <w:t>。</w:t>
      </w:r>
    </w:p>
    <w:p>
      <w:pPr>
        <w:pStyle w:val="2"/>
        <w:snapToGrid w:val="0"/>
        <w:spacing w:before="360" w:after="360" w:line="240" w:lineRule="auto"/>
        <w:rPr>
          <w:rFonts w:hint="eastAsia" w:asciiTheme="minorEastAsia" w:hAnsiTheme="minorEastAsia" w:eastAsiaTheme="minorEastAsia"/>
          <w:color w:val="auto"/>
          <w:sz w:val="28"/>
          <w:highlight w:val="none"/>
        </w:rPr>
      </w:pPr>
      <w:bookmarkStart w:id="33" w:name="_Toc229886032"/>
      <w:bookmarkStart w:id="34" w:name="_Toc3683"/>
      <w:bookmarkStart w:id="35" w:name="_Toc209977689"/>
      <w:bookmarkStart w:id="36" w:name="_Toc209977826"/>
      <w:bookmarkStart w:id="37" w:name="_Toc209977524"/>
      <w:bookmarkStart w:id="38" w:name="_Toc208633824"/>
      <w:bookmarkStart w:id="39" w:name="_Toc171517779"/>
      <w:bookmarkStart w:id="40" w:name="_Toc209977954"/>
      <w:r>
        <w:rPr>
          <w:rFonts w:asciiTheme="minorEastAsia" w:hAnsiTheme="minorEastAsia" w:eastAsiaTheme="minorEastAsia"/>
          <w:color w:val="auto"/>
          <w:sz w:val="28"/>
          <w:highlight w:val="none"/>
        </w:rPr>
        <w:t>5</w:t>
      </w:r>
      <w:r>
        <w:rPr>
          <w:rFonts w:hint="eastAsia" w:asciiTheme="minorEastAsia" w:hAnsiTheme="minorEastAsia" w:eastAsiaTheme="minorEastAsia"/>
          <w:color w:val="auto"/>
          <w:sz w:val="28"/>
          <w:highlight w:val="none"/>
        </w:rPr>
        <w:t xml:space="preserve"> 谈判时间</w:t>
      </w:r>
      <w:bookmarkEnd w:id="33"/>
      <w:r>
        <w:rPr>
          <w:rFonts w:hint="eastAsia" w:asciiTheme="minorEastAsia" w:hAnsiTheme="minorEastAsia" w:eastAsiaTheme="minorEastAsia"/>
          <w:color w:val="auto"/>
          <w:sz w:val="28"/>
          <w:highlight w:val="none"/>
        </w:rPr>
        <w:t>和地点</w:t>
      </w:r>
      <w:bookmarkEnd w:id="34"/>
    </w:p>
    <w:p>
      <w:pPr>
        <w:snapToGrid w:val="0"/>
        <w:spacing w:line="360" w:lineRule="auto"/>
        <w:ind w:firstLine="480" w:firstLineChars="200"/>
        <w:rPr>
          <w:rFonts w:hint="eastAsia" w:hAnsi="宋体"/>
          <w:color w:val="auto"/>
          <w:sz w:val="24"/>
          <w:highlight w:val="none"/>
        </w:rPr>
      </w:pPr>
      <w:r>
        <w:rPr>
          <w:rFonts w:hint="eastAsia" w:hAnsi="宋体"/>
          <w:color w:val="auto"/>
          <w:sz w:val="24"/>
          <w:highlight w:val="none"/>
        </w:rPr>
        <w:t>预计谈判时间为</w:t>
      </w:r>
      <w:r>
        <w:rPr>
          <w:rFonts w:hint="eastAsia" w:hAnsi="宋体"/>
          <w:color w:val="auto"/>
          <w:sz w:val="24"/>
          <w:highlight w:val="none"/>
        </w:rPr>
        <w:t>2024年8月2</w:t>
      </w:r>
      <w:r>
        <w:rPr>
          <w:rFonts w:hint="eastAsia" w:hAnsi="宋体"/>
          <w:color w:val="auto"/>
          <w:sz w:val="24"/>
          <w:highlight w:val="none"/>
          <w:lang w:val="en-US" w:eastAsia="zh-CN"/>
        </w:rPr>
        <w:t>7</w:t>
      </w:r>
      <w:r>
        <w:rPr>
          <w:rFonts w:hint="eastAsia" w:hAnsi="宋体"/>
          <w:color w:val="auto"/>
          <w:sz w:val="24"/>
          <w:highlight w:val="none"/>
        </w:rPr>
        <w:t>日</w:t>
      </w:r>
      <w:r>
        <w:rPr>
          <w:rFonts w:hint="eastAsia" w:hAnsi="宋体"/>
          <w:color w:val="auto"/>
          <w:sz w:val="24"/>
          <w:highlight w:val="none"/>
          <w:lang w:val="en-US" w:eastAsia="zh-CN"/>
        </w:rPr>
        <w:t>9</w:t>
      </w:r>
      <w:r>
        <w:rPr>
          <w:rFonts w:hint="eastAsia" w:hAnsi="宋体"/>
          <w:color w:val="auto"/>
          <w:sz w:val="24"/>
          <w:highlight w:val="none"/>
        </w:rPr>
        <w:t>:00</w:t>
      </w:r>
      <w:r>
        <w:rPr>
          <w:rFonts w:hint="eastAsia" w:hAnsi="宋体"/>
          <w:color w:val="auto"/>
          <w:sz w:val="24"/>
          <w:highlight w:val="none"/>
        </w:rPr>
        <w:t>，谈判地点为江苏省南京市上高路219号中石化石油物探技术研究院有限公司（以下简称物探院）。如有变动另行通知。</w:t>
      </w:r>
    </w:p>
    <w:p>
      <w:pPr>
        <w:pStyle w:val="2"/>
        <w:snapToGrid w:val="0"/>
        <w:spacing w:before="360" w:after="360" w:line="240" w:lineRule="auto"/>
        <w:rPr>
          <w:rFonts w:hint="eastAsia" w:asciiTheme="minorEastAsia" w:hAnsiTheme="minorEastAsia" w:eastAsiaTheme="minorEastAsia"/>
          <w:color w:val="auto"/>
          <w:sz w:val="28"/>
          <w:highlight w:val="none"/>
        </w:rPr>
      </w:pPr>
      <w:bookmarkStart w:id="41" w:name="_Toc229886033"/>
      <w:bookmarkStart w:id="42" w:name="_Toc3972"/>
      <w:r>
        <w:rPr>
          <w:rFonts w:asciiTheme="minorEastAsia" w:hAnsiTheme="minorEastAsia" w:eastAsiaTheme="minorEastAsia"/>
          <w:color w:val="auto"/>
          <w:sz w:val="28"/>
          <w:highlight w:val="none"/>
        </w:rPr>
        <w:t>6</w:t>
      </w:r>
      <w:r>
        <w:rPr>
          <w:rFonts w:hint="eastAsia" w:asciiTheme="minorEastAsia" w:hAnsiTheme="minorEastAsia" w:eastAsiaTheme="minorEastAsia"/>
          <w:color w:val="auto"/>
          <w:sz w:val="28"/>
          <w:highlight w:val="none"/>
        </w:rPr>
        <w:t xml:space="preserve"> 基本规则</w:t>
      </w:r>
      <w:bookmarkEnd w:id="35"/>
      <w:bookmarkEnd w:id="36"/>
      <w:bookmarkEnd w:id="37"/>
      <w:bookmarkEnd w:id="38"/>
      <w:bookmarkEnd w:id="39"/>
      <w:bookmarkEnd w:id="40"/>
      <w:bookmarkEnd w:id="41"/>
      <w:bookmarkEnd w:id="42"/>
      <w:bookmarkStart w:id="43" w:name="_Toc209977960"/>
      <w:bookmarkStart w:id="44" w:name="_Toc209977530"/>
      <w:bookmarkStart w:id="45" w:name="_Toc209977832"/>
      <w:bookmarkStart w:id="46" w:name="_Toc209977695"/>
      <w:bookmarkStart w:id="47" w:name="_Toc229886036"/>
    </w:p>
    <w:p>
      <w:pPr>
        <w:snapToGrid w:val="0"/>
        <w:spacing w:line="360" w:lineRule="auto"/>
        <w:rPr>
          <w:rFonts w:hint="eastAsia" w:ascii="宋体" w:hAnsi="宋体"/>
          <w:b/>
          <w:color w:val="auto"/>
          <w:sz w:val="24"/>
          <w:highlight w:val="none"/>
        </w:rPr>
      </w:pPr>
      <w:r>
        <w:rPr>
          <w:rFonts w:hint="eastAsia" w:ascii="宋体" w:hAnsi="宋体"/>
          <w:b/>
          <w:color w:val="auto"/>
          <w:sz w:val="24"/>
          <w:highlight w:val="none"/>
        </w:rPr>
        <w:t>6.1 总则</w:t>
      </w:r>
    </w:p>
    <w:p>
      <w:pPr>
        <w:snapToGrid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6.1.1 根据国家和中国石化相关规定，维护双方的合法权益，严格按照工程竞争性谈判的程序，保证工程项目竞争性谈判的科学性和公正性，特制定本办法。</w:t>
      </w:r>
    </w:p>
    <w:p>
      <w:pPr>
        <w:snapToGrid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6.1.2 邀请方成立竞争性谈判组委会（简称</w:t>
      </w:r>
      <w:r>
        <w:rPr>
          <w:rFonts w:ascii="宋体" w:hAnsi="宋体"/>
          <w:color w:val="auto"/>
          <w:sz w:val="24"/>
          <w:highlight w:val="none"/>
        </w:rPr>
        <w:t>组委会</w:t>
      </w:r>
      <w:r>
        <w:rPr>
          <w:rFonts w:hint="eastAsia" w:ascii="宋体" w:hAnsi="宋体"/>
          <w:color w:val="auto"/>
          <w:sz w:val="24"/>
          <w:highlight w:val="none"/>
        </w:rPr>
        <w:t>）、评选委员会（简称</w:t>
      </w:r>
      <w:r>
        <w:rPr>
          <w:rFonts w:ascii="宋体" w:hAnsi="宋体"/>
          <w:color w:val="auto"/>
          <w:sz w:val="24"/>
          <w:highlight w:val="none"/>
        </w:rPr>
        <w:t>评委会</w:t>
      </w:r>
      <w:r>
        <w:rPr>
          <w:rFonts w:hint="eastAsia" w:ascii="宋体" w:hAnsi="宋体"/>
          <w:color w:val="auto"/>
          <w:sz w:val="24"/>
          <w:highlight w:val="none"/>
        </w:rPr>
        <w:t>）、监督组和竞争性谈判工作小组。</w:t>
      </w:r>
    </w:p>
    <w:p>
      <w:pPr>
        <w:snapToGrid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6.1.3 评委会负责意向书评选活动，由评委会主任主持。评委会依据综合评分法对意向书进行评审、比较和打分，向组委会推荐合格的合作方候选人并标明排列顺序。</w:t>
      </w:r>
    </w:p>
    <w:p>
      <w:pPr>
        <w:snapToGrid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6.1.4 本着公开、公平、公正、平等竞争的原则，对所有意向方一视同仁，择优选定合作方。</w:t>
      </w:r>
    </w:p>
    <w:p>
      <w:pPr>
        <w:snapToGrid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6.1.5 本次竞争性谈判项目为：</w:t>
      </w:r>
    </w:p>
    <w:p>
      <w:pPr>
        <w:snapToGrid w:val="0"/>
        <w:spacing w:line="360" w:lineRule="auto"/>
        <w:ind w:firstLine="480" w:firstLineChars="200"/>
        <w:rPr>
          <w:rFonts w:hint="eastAsia" w:asciiTheme="minorEastAsia" w:hAnsiTheme="minorEastAsia" w:eastAsiaTheme="minorEastAsia"/>
          <w:color w:val="auto"/>
          <w:sz w:val="24"/>
          <w:szCs w:val="24"/>
          <w:highlight w:val="none"/>
        </w:rPr>
      </w:pPr>
      <w:r>
        <w:rPr>
          <w:rFonts w:hint="eastAsia" w:ascii="宋体" w:hAnsi="宋体"/>
          <w:color w:val="auto"/>
          <w:sz w:val="24"/>
          <w:highlight w:val="none"/>
        </w:rPr>
        <w:t>微地震地面监测野外联合施工框架协议</w:t>
      </w:r>
      <w:r>
        <w:rPr>
          <w:rFonts w:ascii="宋体" w:hAnsi="宋体"/>
          <w:color w:val="auto"/>
          <w:sz w:val="24"/>
          <w:highlight w:val="none"/>
        </w:rPr>
        <w:t>。</w:t>
      </w:r>
    </w:p>
    <w:p>
      <w:pPr>
        <w:snapToGrid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6.1.6 坚持保密原则，任何人不得在规定的谈判时间之前私自开封，不得泄露各意向方的意向书内容。组委会、评委会、监督组成员及竞争性谈判工作人员不得以任何形式泄漏有关竞争性谈判的机密，参加谈判的各意向单位也不得以任何方式探询、暗示有关评选过程及其他相关事项。</w:t>
      </w:r>
    </w:p>
    <w:p>
      <w:pPr>
        <w:snapToGrid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6.1.</w:t>
      </w:r>
      <w:r>
        <w:rPr>
          <w:rFonts w:ascii="宋体" w:hAnsi="宋体"/>
          <w:color w:val="auto"/>
          <w:sz w:val="24"/>
          <w:highlight w:val="none"/>
        </w:rPr>
        <w:t>7</w:t>
      </w:r>
      <w:r>
        <w:rPr>
          <w:rFonts w:hint="eastAsia" w:ascii="宋体" w:hAnsi="宋体"/>
          <w:color w:val="auto"/>
          <w:sz w:val="24"/>
          <w:highlight w:val="none"/>
        </w:rPr>
        <w:t xml:space="preserve"> 本次竞争性谈判采用最高限价方式。</w:t>
      </w:r>
    </w:p>
    <w:p>
      <w:pPr>
        <w:snapToGrid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6.</w:t>
      </w:r>
      <w:r>
        <w:rPr>
          <w:rFonts w:ascii="宋体" w:hAnsi="宋体"/>
          <w:color w:val="auto"/>
          <w:sz w:val="24"/>
          <w:highlight w:val="none"/>
        </w:rPr>
        <w:t>1.8</w:t>
      </w:r>
      <w:r>
        <w:rPr>
          <w:rFonts w:hint="eastAsia" w:ascii="宋体" w:hAnsi="宋体"/>
          <w:color w:val="auto"/>
          <w:sz w:val="24"/>
          <w:highlight w:val="none"/>
        </w:rPr>
        <w:t xml:space="preserve"> 竞争性谈判工作小组将谈判的整个过程记录在案，存档备查。</w:t>
      </w:r>
    </w:p>
    <w:p>
      <w:pPr>
        <w:snapToGrid w:val="0"/>
        <w:spacing w:line="360" w:lineRule="auto"/>
        <w:rPr>
          <w:rFonts w:hint="eastAsia" w:ascii="宋体" w:hAnsi="宋体"/>
          <w:b/>
          <w:color w:val="auto"/>
          <w:sz w:val="24"/>
          <w:highlight w:val="none"/>
        </w:rPr>
      </w:pPr>
      <w:r>
        <w:rPr>
          <w:rFonts w:hint="eastAsia" w:ascii="宋体" w:hAnsi="宋体"/>
          <w:b/>
          <w:color w:val="auto"/>
          <w:sz w:val="24"/>
          <w:highlight w:val="none"/>
        </w:rPr>
        <w:t>6.2 意向书开封</w:t>
      </w:r>
    </w:p>
    <w:p>
      <w:pPr>
        <w:snapToGrid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6.2.1 意向书提交时间截止后，每个项目实际意向单位少于3个，不得组织谈判，应重新组织竞争性谈判，退还所有竞争性谈判文件。</w:t>
      </w:r>
    </w:p>
    <w:p>
      <w:pPr>
        <w:snapToGrid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6.2.2 谈判工作由竞争性谈判工作小组主持，在竞争性谈判文件预先载明的时间和地点谈判。意向方不参加谈判会议，视其默认谈判结果。</w:t>
      </w:r>
    </w:p>
    <w:p>
      <w:pPr>
        <w:snapToGrid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6.2.3 在监督组的</w:t>
      </w:r>
      <w:r>
        <w:rPr>
          <w:rFonts w:ascii="宋体" w:hAnsi="宋体"/>
          <w:color w:val="auto"/>
          <w:sz w:val="24"/>
          <w:highlight w:val="none"/>
        </w:rPr>
        <w:t>监督下</w:t>
      </w:r>
      <w:r>
        <w:rPr>
          <w:rFonts w:hint="eastAsia" w:ascii="宋体" w:hAnsi="宋体"/>
          <w:color w:val="auto"/>
          <w:sz w:val="24"/>
          <w:highlight w:val="none"/>
        </w:rPr>
        <w:t>，</w:t>
      </w:r>
      <w:r>
        <w:rPr>
          <w:rFonts w:ascii="宋体" w:hAnsi="宋体"/>
          <w:color w:val="auto"/>
          <w:sz w:val="24"/>
          <w:highlight w:val="none"/>
        </w:rPr>
        <w:t>竞争性谈判工作小组</w:t>
      </w:r>
      <w:r>
        <w:rPr>
          <w:rFonts w:hint="eastAsia" w:ascii="宋体" w:hAnsi="宋体"/>
          <w:color w:val="auto"/>
          <w:sz w:val="24"/>
          <w:highlight w:val="none"/>
        </w:rPr>
        <w:t>确认所有意向书的密封状况良好后开封并签字确认。</w:t>
      </w:r>
    </w:p>
    <w:p>
      <w:pPr>
        <w:snapToGrid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6.2.4 竞争性谈判工作小组</w:t>
      </w:r>
      <w:r>
        <w:rPr>
          <w:rFonts w:hint="eastAsia" w:ascii="宋体" w:hAnsi="宋体"/>
          <w:color w:val="auto"/>
          <w:sz w:val="24"/>
          <w:szCs w:val="24"/>
          <w:highlight w:val="none"/>
        </w:rPr>
        <w:t>宣读项目最高限价及意向</w:t>
      </w:r>
      <w:r>
        <w:rPr>
          <w:rFonts w:ascii="宋体" w:hAnsi="宋体"/>
          <w:color w:val="auto"/>
          <w:sz w:val="24"/>
          <w:szCs w:val="24"/>
          <w:highlight w:val="none"/>
        </w:rPr>
        <w:t>单位</w:t>
      </w:r>
      <w:r>
        <w:rPr>
          <w:rFonts w:hint="eastAsia" w:ascii="宋体" w:hAnsi="宋体"/>
          <w:color w:val="auto"/>
          <w:sz w:val="24"/>
          <w:szCs w:val="24"/>
          <w:highlight w:val="none"/>
        </w:rPr>
        <w:t>合同</w:t>
      </w:r>
      <w:r>
        <w:rPr>
          <w:rFonts w:ascii="宋体" w:hAnsi="宋体"/>
          <w:color w:val="auto"/>
          <w:sz w:val="24"/>
          <w:szCs w:val="24"/>
          <w:highlight w:val="none"/>
        </w:rPr>
        <w:t>报价</w:t>
      </w:r>
      <w:r>
        <w:rPr>
          <w:rFonts w:hint="eastAsia" w:ascii="宋体" w:hAnsi="宋体"/>
          <w:color w:val="auto"/>
          <w:sz w:val="24"/>
          <w:highlight w:val="none"/>
        </w:rPr>
        <w:t>。</w:t>
      </w:r>
    </w:p>
    <w:p>
      <w:pPr>
        <w:snapToGrid w:val="0"/>
        <w:spacing w:line="360" w:lineRule="auto"/>
        <w:rPr>
          <w:rFonts w:hint="eastAsia" w:ascii="宋体" w:hAnsi="宋体"/>
          <w:b/>
          <w:color w:val="auto"/>
          <w:sz w:val="24"/>
          <w:highlight w:val="none"/>
        </w:rPr>
      </w:pPr>
      <w:r>
        <w:rPr>
          <w:rFonts w:hint="eastAsia" w:ascii="宋体" w:hAnsi="宋体"/>
          <w:b/>
          <w:color w:val="auto"/>
          <w:sz w:val="24"/>
          <w:highlight w:val="none"/>
        </w:rPr>
        <w:t>6.3 评选</w:t>
      </w:r>
    </w:p>
    <w:p>
      <w:pPr>
        <w:snapToGrid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6.3.1 竞争性谈判工作小组对所有投标人进行资质审查，审查合格后方可进行意向书评审。</w:t>
      </w:r>
    </w:p>
    <w:p>
      <w:pPr>
        <w:snapToGrid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6.3.2 意向书的初步评审：评委会成员审阅每份意向书的内容是否完整，是否在实质上响应了竞争性谈判文件的要求。对实质上不响应竞争性谈判文件的意向书由评委会提出处理意见，报组委会审定。</w:t>
      </w:r>
    </w:p>
    <w:p>
      <w:pPr>
        <w:snapToGrid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6.3.3 评委会成员对有效意向书（含多媒体）进行详细评审，按评选细则打分，两个项目分别打分。本次评分为综合排名得分，总分100分，包括技术分和商务分，分别占60%、40%。技术分按照去掉最高分和最低分，计算算术平均分的统计方法求取其得分。</w:t>
      </w:r>
    </w:p>
    <w:p>
      <w:pPr>
        <w:snapToGrid w:val="0"/>
        <w:spacing w:line="360" w:lineRule="auto"/>
        <w:ind w:firstLine="480" w:firstLineChars="200"/>
        <w:rPr>
          <w:color w:val="auto"/>
          <w:highlight w:val="none"/>
        </w:rPr>
      </w:pPr>
      <w:r>
        <w:rPr>
          <w:rFonts w:hint="eastAsia" w:ascii="宋体" w:hAnsi="宋体"/>
          <w:color w:val="auto"/>
          <w:sz w:val="24"/>
          <w:highlight w:val="none"/>
        </w:rPr>
        <w:t>技术分和</w:t>
      </w:r>
      <w:r>
        <w:rPr>
          <w:rFonts w:ascii="宋体" w:hAnsi="宋体"/>
          <w:color w:val="auto"/>
          <w:sz w:val="24"/>
          <w:highlight w:val="none"/>
        </w:rPr>
        <w:t>商务分</w:t>
      </w:r>
      <w:r>
        <w:rPr>
          <w:rFonts w:hint="eastAsia" w:ascii="宋体" w:hAnsi="宋体"/>
          <w:color w:val="auto"/>
          <w:sz w:val="24"/>
          <w:highlight w:val="none"/>
        </w:rPr>
        <w:t>相加为综合得分。若意向方综合得分出现并列情况，由评委会投票表决，确定得分排序。</w:t>
      </w:r>
    </w:p>
    <w:p>
      <w:pPr>
        <w:snapToGrid w:val="0"/>
        <w:spacing w:line="360" w:lineRule="auto"/>
        <w:rPr>
          <w:rFonts w:hint="eastAsia" w:ascii="宋体" w:hAnsi="宋体"/>
          <w:b/>
          <w:color w:val="auto"/>
          <w:sz w:val="24"/>
          <w:highlight w:val="none"/>
        </w:rPr>
      </w:pPr>
      <w:r>
        <w:rPr>
          <w:rFonts w:hint="eastAsia" w:ascii="宋体" w:hAnsi="宋体"/>
          <w:b/>
          <w:color w:val="auto"/>
          <w:sz w:val="24"/>
          <w:highlight w:val="none"/>
        </w:rPr>
        <w:t>6.4 有下列情形之一的，评选委员会应否决该意向方的谈判资格</w:t>
      </w:r>
    </w:p>
    <w:p>
      <w:pPr>
        <w:spacing w:line="460" w:lineRule="exact"/>
        <w:ind w:firstLine="480"/>
        <w:rPr>
          <w:rFonts w:hint="eastAsia" w:ascii="宋体" w:hAnsi="宋体"/>
          <w:color w:val="auto"/>
          <w:sz w:val="24"/>
          <w:highlight w:val="none"/>
        </w:rPr>
      </w:pPr>
      <w:r>
        <w:rPr>
          <w:rFonts w:ascii="宋体" w:hAnsi="宋体"/>
          <w:color w:val="auto"/>
          <w:sz w:val="24"/>
          <w:highlight w:val="none"/>
        </w:rPr>
        <w:t>6.</w:t>
      </w:r>
      <w:r>
        <w:rPr>
          <w:rFonts w:hint="eastAsia" w:ascii="宋体" w:hAnsi="宋体"/>
          <w:color w:val="auto"/>
          <w:sz w:val="24"/>
          <w:highlight w:val="none"/>
        </w:rPr>
        <w:t>4</w:t>
      </w:r>
      <w:r>
        <w:rPr>
          <w:rFonts w:ascii="宋体" w:hAnsi="宋体"/>
          <w:color w:val="auto"/>
          <w:sz w:val="24"/>
          <w:highlight w:val="none"/>
        </w:rPr>
        <w:t>.1</w:t>
      </w:r>
      <w:r>
        <w:rPr>
          <w:rFonts w:hint="eastAsia" w:ascii="宋体" w:hAnsi="宋体"/>
          <w:color w:val="auto"/>
          <w:sz w:val="24"/>
          <w:highlight w:val="none"/>
        </w:rPr>
        <w:t xml:space="preserve"> 意向书送达日期已超过规定的意向书截止日期。</w:t>
      </w:r>
    </w:p>
    <w:p>
      <w:pPr>
        <w:spacing w:line="460" w:lineRule="exact"/>
        <w:ind w:firstLine="480"/>
        <w:rPr>
          <w:rFonts w:hint="eastAsia" w:ascii="宋体" w:hAnsi="宋体"/>
          <w:color w:val="auto"/>
          <w:sz w:val="24"/>
          <w:highlight w:val="none"/>
        </w:rPr>
      </w:pPr>
      <w:r>
        <w:rPr>
          <w:rFonts w:ascii="宋体" w:hAnsi="宋体"/>
          <w:color w:val="auto"/>
          <w:sz w:val="24"/>
          <w:highlight w:val="none"/>
        </w:rPr>
        <w:t>6.</w:t>
      </w:r>
      <w:r>
        <w:rPr>
          <w:rFonts w:hint="eastAsia" w:ascii="宋体" w:hAnsi="宋体"/>
          <w:color w:val="auto"/>
          <w:sz w:val="24"/>
          <w:highlight w:val="none"/>
        </w:rPr>
        <w:t>4</w:t>
      </w:r>
      <w:r>
        <w:rPr>
          <w:rFonts w:ascii="宋体" w:hAnsi="宋体"/>
          <w:color w:val="auto"/>
          <w:sz w:val="24"/>
          <w:highlight w:val="none"/>
        </w:rPr>
        <w:t>.2</w:t>
      </w:r>
      <w:r>
        <w:rPr>
          <w:rFonts w:hint="eastAsia" w:ascii="宋体" w:hAnsi="宋体"/>
          <w:color w:val="auto"/>
          <w:sz w:val="24"/>
          <w:highlight w:val="none"/>
        </w:rPr>
        <w:t xml:space="preserve"> 意向书未按要求密封。</w:t>
      </w:r>
    </w:p>
    <w:p>
      <w:pPr>
        <w:spacing w:line="460" w:lineRule="exact"/>
        <w:ind w:firstLine="480"/>
        <w:rPr>
          <w:rFonts w:hint="eastAsia" w:ascii="宋体" w:hAnsi="宋体"/>
          <w:color w:val="auto"/>
          <w:sz w:val="24"/>
          <w:highlight w:val="none"/>
        </w:rPr>
      </w:pPr>
      <w:r>
        <w:rPr>
          <w:rFonts w:ascii="宋体" w:hAnsi="宋体"/>
          <w:color w:val="auto"/>
          <w:sz w:val="24"/>
          <w:highlight w:val="none"/>
        </w:rPr>
        <w:t>6.</w:t>
      </w:r>
      <w:r>
        <w:rPr>
          <w:rFonts w:hint="eastAsia" w:ascii="宋体" w:hAnsi="宋体"/>
          <w:color w:val="auto"/>
          <w:sz w:val="24"/>
          <w:highlight w:val="none"/>
        </w:rPr>
        <w:t>4</w:t>
      </w:r>
      <w:r>
        <w:rPr>
          <w:rFonts w:ascii="宋体" w:hAnsi="宋体"/>
          <w:color w:val="auto"/>
          <w:sz w:val="24"/>
          <w:highlight w:val="none"/>
        </w:rPr>
        <w:t>.3</w:t>
      </w:r>
      <w:r>
        <w:rPr>
          <w:rFonts w:hint="eastAsia" w:ascii="宋体" w:hAnsi="宋体"/>
          <w:color w:val="auto"/>
          <w:sz w:val="24"/>
          <w:highlight w:val="none"/>
        </w:rPr>
        <w:t xml:space="preserve"> 意向书未加盖意向单位印章和未经单位负责人或授权代理人签字。</w:t>
      </w:r>
    </w:p>
    <w:p>
      <w:pPr>
        <w:spacing w:line="460" w:lineRule="exact"/>
        <w:ind w:firstLine="480"/>
        <w:rPr>
          <w:rFonts w:hint="eastAsia" w:ascii="宋体" w:hAnsi="宋体"/>
          <w:color w:val="auto"/>
          <w:sz w:val="24"/>
          <w:highlight w:val="none"/>
        </w:rPr>
      </w:pPr>
      <w:r>
        <w:rPr>
          <w:rFonts w:ascii="宋体" w:hAnsi="宋体"/>
          <w:color w:val="auto"/>
          <w:sz w:val="24"/>
          <w:highlight w:val="none"/>
        </w:rPr>
        <w:t>6.</w:t>
      </w:r>
      <w:r>
        <w:rPr>
          <w:rFonts w:hint="eastAsia" w:ascii="宋体" w:hAnsi="宋体"/>
          <w:color w:val="auto"/>
          <w:sz w:val="24"/>
          <w:highlight w:val="none"/>
        </w:rPr>
        <w:t>4</w:t>
      </w:r>
      <w:r>
        <w:rPr>
          <w:rFonts w:ascii="宋体" w:hAnsi="宋体"/>
          <w:color w:val="auto"/>
          <w:sz w:val="24"/>
          <w:highlight w:val="none"/>
        </w:rPr>
        <w:t>.4</w:t>
      </w:r>
      <w:r>
        <w:rPr>
          <w:rFonts w:hint="eastAsia" w:ascii="宋体" w:hAnsi="宋体"/>
          <w:color w:val="auto"/>
          <w:sz w:val="24"/>
          <w:highlight w:val="none"/>
        </w:rPr>
        <w:t xml:space="preserve"> 意向书未按规定的格式填写或填写字迹模糊、辨认不清。</w:t>
      </w:r>
    </w:p>
    <w:p>
      <w:pPr>
        <w:spacing w:line="460" w:lineRule="exact"/>
        <w:ind w:firstLine="480"/>
        <w:rPr>
          <w:rFonts w:hint="eastAsia" w:ascii="宋体" w:hAnsi="宋体"/>
          <w:color w:val="auto"/>
          <w:sz w:val="24"/>
          <w:highlight w:val="none"/>
        </w:rPr>
      </w:pPr>
      <w:r>
        <w:rPr>
          <w:rFonts w:ascii="宋体" w:hAnsi="宋体"/>
          <w:color w:val="auto"/>
          <w:sz w:val="24"/>
          <w:highlight w:val="none"/>
        </w:rPr>
        <w:t>6.</w:t>
      </w:r>
      <w:r>
        <w:rPr>
          <w:rFonts w:hint="eastAsia" w:ascii="宋体" w:hAnsi="宋体"/>
          <w:color w:val="auto"/>
          <w:sz w:val="24"/>
          <w:highlight w:val="none"/>
        </w:rPr>
        <w:t>4</w:t>
      </w:r>
      <w:r>
        <w:rPr>
          <w:rFonts w:ascii="宋体" w:hAnsi="宋体"/>
          <w:color w:val="auto"/>
          <w:sz w:val="24"/>
          <w:highlight w:val="none"/>
        </w:rPr>
        <w:t>.5</w:t>
      </w:r>
      <w:r>
        <w:rPr>
          <w:rFonts w:hint="eastAsia" w:ascii="宋体" w:hAnsi="宋体"/>
          <w:color w:val="auto"/>
          <w:sz w:val="24"/>
          <w:highlight w:val="none"/>
        </w:rPr>
        <w:t xml:space="preserve"> 意向书商务部分报价含有变动价格因素或存在两个及以上报价（竞争性谈判文件要求提交备选方案的除外）。</w:t>
      </w:r>
    </w:p>
    <w:p>
      <w:pPr>
        <w:spacing w:line="460" w:lineRule="exact"/>
        <w:ind w:firstLine="480"/>
        <w:rPr>
          <w:rFonts w:hint="eastAsia" w:ascii="宋体" w:hAnsi="宋体"/>
          <w:color w:val="auto"/>
          <w:sz w:val="24"/>
          <w:highlight w:val="none"/>
        </w:rPr>
      </w:pPr>
      <w:r>
        <w:rPr>
          <w:rFonts w:ascii="宋体" w:hAnsi="宋体"/>
          <w:color w:val="auto"/>
          <w:sz w:val="24"/>
          <w:highlight w:val="none"/>
        </w:rPr>
        <w:t>6.</w:t>
      </w:r>
      <w:r>
        <w:rPr>
          <w:rFonts w:hint="eastAsia" w:ascii="宋体" w:hAnsi="宋体"/>
          <w:color w:val="auto"/>
          <w:sz w:val="24"/>
          <w:highlight w:val="none"/>
        </w:rPr>
        <w:t>4</w:t>
      </w:r>
      <w:r>
        <w:rPr>
          <w:rFonts w:ascii="宋体" w:hAnsi="宋体"/>
          <w:color w:val="auto"/>
          <w:sz w:val="24"/>
          <w:highlight w:val="none"/>
        </w:rPr>
        <w:t>.6</w:t>
      </w:r>
      <w:r>
        <w:rPr>
          <w:rFonts w:hint="eastAsia" w:ascii="宋体" w:hAnsi="宋体"/>
          <w:color w:val="auto"/>
          <w:sz w:val="24"/>
          <w:highlight w:val="none"/>
        </w:rPr>
        <w:t xml:space="preserve"> 无正当理由不按要求对意向书进行澄清、说明或者补充。</w:t>
      </w:r>
    </w:p>
    <w:p>
      <w:pPr>
        <w:spacing w:line="460" w:lineRule="exact"/>
        <w:ind w:firstLine="480"/>
        <w:rPr>
          <w:rFonts w:hint="eastAsia" w:ascii="宋体" w:hAnsi="宋体"/>
          <w:color w:val="auto"/>
          <w:sz w:val="24"/>
          <w:highlight w:val="none"/>
        </w:rPr>
      </w:pPr>
      <w:r>
        <w:rPr>
          <w:rFonts w:ascii="宋体" w:hAnsi="宋体"/>
          <w:color w:val="auto"/>
          <w:sz w:val="24"/>
          <w:highlight w:val="none"/>
        </w:rPr>
        <w:t>6.</w:t>
      </w:r>
      <w:r>
        <w:rPr>
          <w:rFonts w:hint="eastAsia" w:ascii="宋体" w:hAnsi="宋体"/>
          <w:color w:val="auto"/>
          <w:sz w:val="24"/>
          <w:highlight w:val="none"/>
        </w:rPr>
        <w:t>4</w:t>
      </w:r>
      <w:r>
        <w:rPr>
          <w:rFonts w:ascii="宋体" w:hAnsi="宋体"/>
          <w:color w:val="auto"/>
          <w:sz w:val="24"/>
          <w:highlight w:val="none"/>
        </w:rPr>
        <w:t>.7</w:t>
      </w:r>
      <w:r>
        <w:rPr>
          <w:rFonts w:hint="eastAsia" w:ascii="宋体" w:hAnsi="宋体"/>
          <w:color w:val="auto"/>
          <w:sz w:val="24"/>
          <w:highlight w:val="none"/>
        </w:rPr>
        <w:t xml:space="preserve"> 未按时提交资质或资质审查不合格的。</w:t>
      </w:r>
    </w:p>
    <w:p>
      <w:pPr>
        <w:spacing w:line="460" w:lineRule="exact"/>
        <w:ind w:firstLine="480"/>
        <w:rPr>
          <w:rFonts w:hint="eastAsia" w:ascii="宋体" w:hAnsi="宋体"/>
          <w:color w:val="auto"/>
          <w:sz w:val="24"/>
          <w:highlight w:val="none"/>
        </w:rPr>
      </w:pPr>
      <w:r>
        <w:rPr>
          <w:rFonts w:ascii="宋体" w:hAnsi="宋体"/>
          <w:color w:val="auto"/>
          <w:sz w:val="24"/>
          <w:highlight w:val="none"/>
        </w:rPr>
        <w:t>6.</w:t>
      </w:r>
      <w:r>
        <w:rPr>
          <w:rFonts w:hint="eastAsia" w:ascii="宋体" w:hAnsi="宋体"/>
          <w:color w:val="auto"/>
          <w:sz w:val="24"/>
          <w:highlight w:val="none"/>
        </w:rPr>
        <w:t>4</w:t>
      </w:r>
      <w:r>
        <w:rPr>
          <w:rFonts w:ascii="宋体" w:hAnsi="宋体"/>
          <w:color w:val="auto"/>
          <w:sz w:val="24"/>
          <w:highlight w:val="none"/>
        </w:rPr>
        <w:t>.8</w:t>
      </w:r>
      <w:r>
        <w:rPr>
          <w:rFonts w:hint="eastAsia" w:ascii="宋体" w:hAnsi="宋体"/>
          <w:color w:val="auto"/>
          <w:sz w:val="24"/>
          <w:highlight w:val="none"/>
        </w:rPr>
        <w:t xml:space="preserve"> 没有对竞争性谈判文件提出的实质性要求和条件做出响应。</w:t>
      </w:r>
    </w:p>
    <w:p>
      <w:pPr>
        <w:spacing w:line="460" w:lineRule="exact"/>
        <w:ind w:firstLine="480"/>
        <w:rPr>
          <w:rFonts w:hint="eastAsia" w:ascii="宋体" w:hAnsi="宋体"/>
          <w:color w:val="auto"/>
          <w:sz w:val="24"/>
          <w:highlight w:val="none"/>
        </w:rPr>
      </w:pPr>
      <w:r>
        <w:rPr>
          <w:rFonts w:ascii="宋体" w:hAnsi="宋体"/>
          <w:color w:val="auto"/>
          <w:sz w:val="24"/>
          <w:highlight w:val="none"/>
        </w:rPr>
        <w:t>6.</w:t>
      </w:r>
      <w:r>
        <w:rPr>
          <w:rFonts w:hint="eastAsia" w:ascii="宋体" w:hAnsi="宋体"/>
          <w:color w:val="auto"/>
          <w:sz w:val="24"/>
          <w:highlight w:val="none"/>
        </w:rPr>
        <w:t>4</w:t>
      </w:r>
      <w:r>
        <w:rPr>
          <w:rFonts w:ascii="宋体" w:hAnsi="宋体"/>
          <w:color w:val="auto"/>
          <w:sz w:val="24"/>
          <w:highlight w:val="none"/>
        </w:rPr>
        <w:t>.9</w:t>
      </w:r>
      <w:r>
        <w:rPr>
          <w:rFonts w:hint="eastAsia" w:ascii="宋体" w:hAnsi="宋体"/>
          <w:color w:val="auto"/>
          <w:sz w:val="24"/>
          <w:highlight w:val="none"/>
        </w:rPr>
        <w:t xml:space="preserve"> 意向单位有串通、弄虚作假、行贿等违法行为或者依法不具备参加本次谈判资格的。</w:t>
      </w:r>
    </w:p>
    <w:p>
      <w:pPr>
        <w:spacing w:line="460" w:lineRule="exact"/>
        <w:ind w:firstLine="480"/>
        <w:rPr>
          <w:rFonts w:hint="eastAsia" w:ascii="宋体" w:hAnsi="宋体"/>
          <w:color w:val="auto"/>
          <w:sz w:val="24"/>
          <w:highlight w:val="none"/>
        </w:rPr>
      </w:pPr>
      <w:r>
        <w:rPr>
          <w:rFonts w:ascii="宋体" w:hAnsi="宋体"/>
          <w:color w:val="auto"/>
          <w:sz w:val="24"/>
          <w:highlight w:val="none"/>
        </w:rPr>
        <w:t>6.</w:t>
      </w:r>
      <w:r>
        <w:rPr>
          <w:rFonts w:hint="eastAsia" w:ascii="宋体" w:hAnsi="宋体"/>
          <w:color w:val="auto"/>
          <w:sz w:val="24"/>
          <w:highlight w:val="none"/>
        </w:rPr>
        <w:t>4</w:t>
      </w:r>
      <w:r>
        <w:rPr>
          <w:rFonts w:ascii="宋体" w:hAnsi="宋体"/>
          <w:color w:val="auto"/>
          <w:sz w:val="24"/>
          <w:highlight w:val="none"/>
        </w:rPr>
        <w:t>.10</w:t>
      </w:r>
      <w:r>
        <w:rPr>
          <w:rFonts w:hint="eastAsia" w:ascii="宋体" w:hAnsi="宋体"/>
          <w:color w:val="auto"/>
          <w:sz w:val="24"/>
          <w:highlight w:val="none"/>
        </w:rPr>
        <w:t xml:space="preserve"> 商务报价低于成本或者高于竞争性谈判设定的最高限价。</w:t>
      </w:r>
    </w:p>
    <w:p>
      <w:pPr>
        <w:spacing w:line="460" w:lineRule="exact"/>
        <w:ind w:firstLine="480"/>
        <w:rPr>
          <w:rFonts w:hint="eastAsia" w:ascii="宋体" w:hAnsi="宋体"/>
          <w:color w:val="auto"/>
          <w:sz w:val="24"/>
          <w:highlight w:val="none"/>
        </w:rPr>
      </w:pPr>
      <w:r>
        <w:rPr>
          <w:rFonts w:ascii="宋体" w:hAnsi="宋体"/>
          <w:color w:val="auto"/>
          <w:sz w:val="24"/>
          <w:highlight w:val="none"/>
        </w:rPr>
        <w:t>6.</w:t>
      </w:r>
      <w:r>
        <w:rPr>
          <w:rFonts w:hint="eastAsia" w:ascii="宋体" w:hAnsi="宋体"/>
          <w:color w:val="auto"/>
          <w:sz w:val="24"/>
          <w:highlight w:val="none"/>
        </w:rPr>
        <w:t>4</w:t>
      </w:r>
      <w:r>
        <w:rPr>
          <w:rFonts w:ascii="宋体" w:hAnsi="宋体"/>
          <w:color w:val="auto"/>
          <w:sz w:val="24"/>
          <w:highlight w:val="none"/>
        </w:rPr>
        <w:t>.11</w:t>
      </w:r>
      <w:r>
        <w:rPr>
          <w:rFonts w:hint="eastAsia" w:ascii="宋体" w:hAnsi="宋体"/>
          <w:color w:val="auto"/>
          <w:sz w:val="24"/>
          <w:highlight w:val="none"/>
        </w:rPr>
        <w:t xml:space="preserve"> 意向联合体没有提交共同意向协议。</w:t>
      </w:r>
    </w:p>
    <w:p>
      <w:pPr>
        <w:spacing w:line="460" w:lineRule="exact"/>
        <w:ind w:firstLine="482"/>
        <w:rPr>
          <w:rFonts w:hint="eastAsia" w:ascii="宋体" w:hAnsi="宋体"/>
          <w:color w:val="auto"/>
          <w:sz w:val="24"/>
          <w:highlight w:val="none"/>
        </w:rPr>
      </w:pPr>
      <w:r>
        <w:rPr>
          <w:rFonts w:ascii="宋体" w:hAnsi="宋体"/>
          <w:color w:val="auto"/>
          <w:sz w:val="24"/>
          <w:highlight w:val="none"/>
        </w:rPr>
        <w:t>6.</w:t>
      </w:r>
      <w:r>
        <w:rPr>
          <w:rFonts w:hint="eastAsia" w:ascii="宋体" w:hAnsi="宋体"/>
          <w:color w:val="auto"/>
          <w:sz w:val="24"/>
          <w:highlight w:val="none"/>
        </w:rPr>
        <w:t>4</w:t>
      </w:r>
      <w:r>
        <w:rPr>
          <w:rFonts w:ascii="宋体" w:hAnsi="宋体"/>
          <w:color w:val="auto"/>
          <w:sz w:val="24"/>
          <w:highlight w:val="none"/>
        </w:rPr>
        <w:t>.12</w:t>
      </w:r>
      <w:r>
        <w:rPr>
          <w:rFonts w:hint="eastAsia" w:ascii="宋体" w:hAnsi="宋体"/>
          <w:color w:val="auto"/>
          <w:sz w:val="24"/>
          <w:highlight w:val="none"/>
        </w:rPr>
        <w:t xml:space="preserve"> 竞争性谈判文件明确规定可以废除的其它情形。</w:t>
      </w:r>
    </w:p>
    <w:p>
      <w:pPr>
        <w:snapToGrid w:val="0"/>
        <w:spacing w:before="156" w:beforeLines="50" w:line="360" w:lineRule="auto"/>
        <w:rPr>
          <w:rFonts w:hint="eastAsia" w:ascii="宋体" w:hAnsi="宋体"/>
          <w:b/>
          <w:color w:val="auto"/>
          <w:sz w:val="24"/>
          <w:highlight w:val="none"/>
        </w:rPr>
      </w:pPr>
      <w:r>
        <w:rPr>
          <w:rFonts w:ascii="宋体" w:hAnsi="宋体"/>
          <w:b/>
          <w:color w:val="auto"/>
          <w:sz w:val="24"/>
          <w:highlight w:val="none"/>
        </w:rPr>
        <w:t>6.5</w:t>
      </w:r>
      <w:r>
        <w:rPr>
          <w:rFonts w:hint="eastAsia" w:ascii="宋体" w:hAnsi="宋体"/>
          <w:b/>
          <w:color w:val="auto"/>
          <w:sz w:val="24"/>
          <w:highlight w:val="none"/>
        </w:rPr>
        <w:t>评分方式</w:t>
      </w:r>
    </w:p>
    <w:p>
      <w:pPr>
        <w:spacing w:line="460" w:lineRule="exact"/>
        <w:ind w:firstLine="480"/>
        <w:rPr>
          <w:rFonts w:hint="eastAsia" w:ascii="宋体" w:hAnsi="宋体"/>
          <w:color w:val="auto"/>
          <w:sz w:val="24"/>
          <w:highlight w:val="none"/>
        </w:rPr>
      </w:pPr>
      <w:r>
        <w:rPr>
          <w:rFonts w:hint="eastAsia" w:ascii="宋体" w:hAnsi="宋体"/>
          <w:color w:val="auto"/>
          <w:sz w:val="24"/>
          <w:highlight w:val="none"/>
        </w:rPr>
        <w:t>竞争性谈判工作小组按技术标评分细则对所有合作候选人的投标文件采用记名方式对技术标进行打分，并按商务标计分标准计算商务标得分，得出该合作候选人的技术与商务总得分。</w:t>
      </w:r>
    </w:p>
    <w:p>
      <w:pPr>
        <w:spacing w:line="460" w:lineRule="exact"/>
        <w:ind w:firstLine="480"/>
        <w:rPr>
          <w:rFonts w:hint="eastAsia" w:ascii="宋体" w:hAnsi="宋体"/>
          <w:color w:val="auto"/>
          <w:sz w:val="24"/>
          <w:highlight w:val="none"/>
        </w:rPr>
      </w:pPr>
      <w:r>
        <w:rPr>
          <w:rFonts w:ascii="宋体" w:hAnsi="宋体"/>
          <w:color w:val="auto"/>
          <w:sz w:val="24"/>
          <w:highlight w:val="none"/>
        </w:rPr>
        <w:t>6.5.1  技术</w:t>
      </w:r>
      <w:r>
        <w:rPr>
          <w:rFonts w:hint="eastAsia" w:ascii="宋体" w:hAnsi="宋体"/>
          <w:color w:val="auto"/>
          <w:sz w:val="24"/>
          <w:highlight w:val="none"/>
        </w:rPr>
        <w:t>评分：满分</w:t>
      </w:r>
      <w:r>
        <w:rPr>
          <w:rFonts w:ascii="宋体" w:hAnsi="宋体"/>
          <w:color w:val="auto"/>
          <w:sz w:val="24"/>
          <w:highlight w:val="none"/>
        </w:rPr>
        <w:t>100分，权重60%</w:t>
      </w:r>
    </w:p>
    <w:p>
      <w:pPr>
        <w:spacing w:line="400" w:lineRule="exact"/>
        <w:ind w:firstLine="482"/>
        <w:rPr>
          <w:rFonts w:hint="eastAsia" w:ascii="宋体" w:hAnsi="宋体"/>
          <w:color w:val="auto"/>
          <w:sz w:val="24"/>
          <w:highlight w:val="none"/>
        </w:rPr>
      </w:pPr>
      <w:r>
        <w:rPr>
          <w:rFonts w:hint="eastAsia" w:ascii="宋体" w:hAnsi="宋体"/>
          <w:color w:val="auto"/>
          <w:sz w:val="24"/>
          <w:highlight w:val="none"/>
        </w:rPr>
        <w:t>竞争性谈判工作小组按评分细则对所有初步评审合格意向方的意向书采用记名方式对技术打分，得出该意向方的技术得分（得分四舍五入保留两位小数）。本项目按如下评分标准评分：</w:t>
      </w:r>
    </w:p>
    <w:p>
      <w:pPr>
        <w:spacing w:line="400" w:lineRule="exact"/>
        <w:ind w:firstLine="482"/>
        <w:rPr>
          <w:rFonts w:hint="eastAsia" w:ascii="宋体" w:hAnsi="宋体"/>
          <w:color w:val="auto"/>
          <w:sz w:val="24"/>
          <w:highlight w:val="none"/>
        </w:rPr>
      </w:pPr>
    </w:p>
    <w:p>
      <w:pPr>
        <w:spacing w:line="400" w:lineRule="exact"/>
        <w:ind w:firstLine="482"/>
        <w:rPr>
          <w:rFonts w:hint="eastAsia" w:ascii="宋体" w:hAnsi="宋体"/>
          <w:color w:val="auto"/>
          <w:sz w:val="24"/>
          <w:highlight w:val="none"/>
        </w:rPr>
      </w:pPr>
    </w:p>
    <w:p>
      <w:pPr>
        <w:spacing w:line="400" w:lineRule="exact"/>
        <w:ind w:firstLine="482"/>
        <w:rPr>
          <w:rFonts w:hint="eastAsia" w:ascii="宋体" w:hAnsi="宋体"/>
          <w:color w:val="auto"/>
          <w:sz w:val="24"/>
          <w:highlight w:val="none"/>
        </w:rPr>
      </w:pPr>
    </w:p>
    <w:p>
      <w:pPr>
        <w:spacing w:line="400" w:lineRule="exact"/>
        <w:ind w:firstLine="482"/>
        <w:rPr>
          <w:rFonts w:hint="eastAsia" w:ascii="宋体" w:hAnsi="宋体"/>
          <w:color w:val="auto"/>
          <w:sz w:val="24"/>
          <w:highlight w:val="none"/>
        </w:rPr>
      </w:pPr>
    </w:p>
    <w:p>
      <w:pPr>
        <w:spacing w:line="400" w:lineRule="exact"/>
        <w:ind w:firstLine="482"/>
        <w:rPr>
          <w:rFonts w:hint="eastAsia" w:ascii="宋体" w:hAnsi="宋体"/>
          <w:color w:val="auto"/>
          <w:sz w:val="24"/>
          <w:highlight w:val="none"/>
        </w:rPr>
      </w:pPr>
    </w:p>
    <w:p>
      <w:pPr>
        <w:spacing w:line="240" w:lineRule="auto"/>
        <w:jc w:val="center"/>
        <w:rPr>
          <w:rFonts w:hint="eastAsia" w:ascii="宋体" w:hAnsi="宋体" w:cs="宋体"/>
          <w:b/>
          <w:bCs/>
          <w:color w:val="auto"/>
          <w:sz w:val="28"/>
          <w:szCs w:val="28"/>
          <w:highlight w:val="none"/>
        </w:rPr>
      </w:pPr>
      <w:r>
        <w:rPr>
          <w:rFonts w:hint="eastAsia" w:ascii="宋体" w:hAnsi="宋体" w:cs="宋体"/>
          <w:b/>
          <w:bCs/>
          <w:color w:val="auto"/>
          <w:sz w:val="28"/>
          <w:szCs w:val="28"/>
          <w:highlight w:val="none"/>
        </w:rPr>
        <w:t>技术评分表</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9"/>
        <w:gridCol w:w="1072"/>
        <w:gridCol w:w="5818"/>
        <w:gridCol w:w="6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blHeader/>
        </w:trPr>
        <w:tc>
          <w:tcPr>
            <w:tcW w:w="7899" w:type="dxa"/>
            <w:gridSpan w:val="3"/>
            <w:vAlign w:val="center"/>
          </w:tcPr>
          <w:p>
            <w:pPr>
              <w:overflowPunct w:val="0"/>
              <w:autoSpaceDE w:val="0"/>
              <w:autoSpaceDN w:val="0"/>
              <w:snapToGrid w:val="0"/>
              <w:spacing w:line="240" w:lineRule="auto"/>
              <w:jc w:val="center"/>
              <w:rPr>
                <w:rFonts w:hint="eastAsia" w:ascii="宋体" w:hAnsi="宋体" w:cs="仿宋"/>
                <w:b/>
                <w:color w:val="auto"/>
                <w:szCs w:val="21"/>
                <w:highlight w:val="none"/>
              </w:rPr>
            </w:pPr>
            <w:r>
              <w:rPr>
                <w:rFonts w:hint="eastAsia" w:ascii="宋体" w:hAnsi="宋体" w:cs="宋体"/>
                <w:color w:val="auto"/>
                <w:szCs w:val="21"/>
                <w:highlight w:val="none"/>
              </w:rPr>
              <w:t>评分标准</w:t>
            </w:r>
          </w:p>
        </w:tc>
        <w:tc>
          <w:tcPr>
            <w:tcW w:w="623" w:type="dxa"/>
            <w:vAlign w:val="center"/>
          </w:tcPr>
          <w:p>
            <w:pPr>
              <w:tabs>
                <w:tab w:val="left" w:pos="439"/>
              </w:tabs>
              <w:overflowPunct w:val="0"/>
              <w:autoSpaceDE w:val="0"/>
              <w:autoSpaceDN w:val="0"/>
              <w:snapToGrid w:val="0"/>
              <w:spacing w:line="240" w:lineRule="auto"/>
              <w:jc w:val="center"/>
              <w:rPr>
                <w:rFonts w:hint="eastAsia" w:ascii="宋体" w:hAnsi="宋体" w:cs="宋体"/>
                <w:color w:val="auto"/>
                <w:szCs w:val="21"/>
                <w:highlight w:val="none"/>
              </w:rPr>
            </w:pPr>
            <w:r>
              <w:rPr>
                <w:rFonts w:hint="eastAsia" w:ascii="宋体" w:hAnsi="宋体" w:cs="宋体"/>
                <w:color w:val="auto"/>
                <w:szCs w:val="21"/>
                <w:highlight w:val="none"/>
              </w:rPr>
              <w:t>分数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trPr>
        <w:tc>
          <w:tcPr>
            <w:tcW w:w="1009" w:type="dxa"/>
            <w:vMerge w:val="restart"/>
            <w:vAlign w:val="center"/>
          </w:tcPr>
          <w:p>
            <w:pPr>
              <w:overflowPunct w:val="0"/>
              <w:autoSpaceDE w:val="0"/>
              <w:autoSpaceDN w:val="0"/>
              <w:spacing w:line="240" w:lineRule="auto"/>
              <w:jc w:val="center"/>
              <w:rPr>
                <w:rFonts w:hint="eastAsia" w:ascii="宋体" w:hAnsi="宋体"/>
                <w:color w:val="auto"/>
                <w:szCs w:val="21"/>
                <w:highlight w:val="none"/>
              </w:rPr>
            </w:pPr>
            <w:r>
              <w:rPr>
                <w:rFonts w:ascii="宋体" w:hAnsi="宋体"/>
                <w:color w:val="auto"/>
                <w:szCs w:val="21"/>
                <w:highlight w:val="none"/>
              </w:rPr>
              <w:t>基本情况</w:t>
            </w:r>
          </w:p>
        </w:tc>
        <w:tc>
          <w:tcPr>
            <w:tcW w:w="1072" w:type="dxa"/>
            <w:vAlign w:val="center"/>
          </w:tcPr>
          <w:p>
            <w:pPr>
              <w:overflowPunct w:val="0"/>
              <w:autoSpaceDE w:val="0"/>
              <w:autoSpaceDN w:val="0"/>
              <w:rPr>
                <w:rFonts w:hint="eastAsia" w:ascii="宋体" w:hAnsi="宋体"/>
                <w:color w:val="auto"/>
                <w:szCs w:val="21"/>
                <w:highlight w:val="none"/>
              </w:rPr>
            </w:pPr>
            <w:r>
              <w:rPr>
                <w:rFonts w:ascii="宋体" w:hAnsi="宋体"/>
                <w:color w:val="auto"/>
                <w:szCs w:val="21"/>
                <w:highlight w:val="none"/>
              </w:rPr>
              <w:t>管理体系认证</w:t>
            </w:r>
          </w:p>
        </w:tc>
        <w:tc>
          <w:tcPr>
            <w:tcW w:w="5818" w:type="dxa"/>
            <w:vAlign w:val="center"/>
          </w:tcPr>
          <w:p>
            <w:pPr>
              <w:overflowPunct w:val="0"/>
              <w:autoSpaceDE w:val="0"/>
              <w:autoSpaceDN w:val="0"/>
              <w:snapToGrid w:val="0"/>
              <w:spacing w:line="240" w:lineRule="auto"/>
              <w:rPr>
                <w:rFonts w:hint="eastAsia" w:ascii="宋体" w:hAnsi="宋体" w:cs="仿宋"/>
                <w:b/>
                <w:color w:val="auto"/>
                <w:szCs w:val="21"/>
                <w:highlight w:val="none"/>
              </w:rPr>
            </w:pPr>
            <w:r>
              <w:rPr>
                <w:rFonts w:ascii="宋体" w:hAnsi="宋体"/>
                <w:color w:val="auto"/>
                <w:szCs w:val="21"/>
                <w:highlight w:val="none"/>
              </w:rPr>
              <w:t>企业通过GB/T19001:2016/ISO9001:2015质量管理体系认证或通过HSE管理体系认证得10分；</w:t>
            </w:r>
          </w:p>
        </w:tc>
        <w:tc>
          <w:tcPr>
            <w:tcW w:w="623" w:type="dxa"/>
            <w:vAlign w:val="center"/>
          </w:tcPr>
          <w:p>
            <w:pPr>
              <w:overflowPunct w:val="0"/>
              <w:autoSpaceDE w:val="0"/>
              <w:autoSpaceDN w:val="0"/>
              <w:snapToGrid w:val="0"/>
              <w:spacing w:line="240" w:lineRule="auto"/>
              <w:jc w:val="center"/>
              <w:rPr>
                <w:rFonts w:hint="eastAsia" w:ascii="宋体" w:hAnsi="宋体"/>
                <w:color w:val="auto"/>
                <w:szCs w:val="21"/>
                <w:highlight w:val="none"/>
              </w:rPr>
            </w:pPr>
            <w:r>
              <w:rPr>
                <w:rFonts w:ascii="宋体" w:hAnsi="宋体"/>
                <w:color w:val="auto"/>
                <w:szCs w:val="21"/>
                <w:highlight w:val="none"/>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trPr>
        <w:tc>
          <w:tcPr>
            <w:tcW w:w="1009" w:type="dxa"/>
            <w:vMerge w:val="continue"/>
            <w:vAlign w:val="center"/>
          </w:tcPr>
          <w:p>
            <w:pPr>
              <w:overflowPunct w:val="0"/>
              <w:autoSpaceDE w:val="0"/>
              <w:autoSpaceDN w:val="0"/>
              <w:snapToGrid w:val="0"/>
              <w:spacing w:line="240" w:lineRule="auto"/>
              <w:jc w:val="center"/>
              <w:rPr>
                <w:rFonts w:hint="eastAsia" w:ascii="宋体" w:hAnsi="宋体" w:cs="仿宋"/>
                <w:b/>
                <w:color w:val="auto"/>
                <w:szCs w:val="21"/>
                <w:highlight w:val="none"/>
              </w:rPr>
            </w:pPr>
          </w:p>
        </w:tc>
        <w:tc>
          <w:tcPr>
            <w:tcW w:w="1072" w:type="dxa"/>
            <w:vAlign w:val="center"/>
          </w:tcPr>
          <w:p>
            <w:pPr>
              <w:overflowPunct w:val="0"/>
              <w:autoSpaceDE w:val="0"/>
              <w:autoSpaceDN w:val="0"/>
              <w:snapToGrid w:val="0"/>
              <w:spacing w:line="240" w:lineRule="auto"/>
              <w:rPr>
                <w:rFonts w:hint="eastAsia" w:ascii="宋体" w:hAnsi="宋体" w:cs="仿宋"/>
                <w:b/>
                <w:color w:val="auto"/>
                <w:szCs w:val="21"/>
                <w:highlight w:val="none"/>
              </w:rPr>
            </w:pPr>
            <w:r>
              <w:rPr>
                <w:rFonts w:hint="eastAsia" w:ascii="宋体" w:hAnsi="宋体"/>
                <w:color w:val="auto"/>
                <w:szCs w:val="21"/>
                <w:highlight w:val="none"/>
              </w:rPr>
              <w:t>人员能力和素质</w:t>
            </w:r>
          </w:p>
        </w:tc>
        <w:tc>
          <w:tcPr>
            <w:tcW w:w="5818" w:type="dxa"/>
            <w:vAlign w:val="center"/>
          </w:tcPr>
          <w:p>
            <w:pPr>
              <w:overflowPunct w:val="0"/>
              <w:autoSpaceDE w:val="0"/>
              <w:autoSpaceDN w:val="0"/>
              <w:snapToGrid w:val="0"/>
              <w:spacing w:line="240" w:lineRule="auto"/>
              <w:rPr>
                <w:rFonts w:hint="eastAsia" w:ascii="宋体" w:hAnsi="宋体"/>
                <w:color w:val="auto"/>
                <w:szCs w:val="21"/>
                <w:highlight w:val="none"/>
              </w:rPr>
            </w:pPr>
            <w:r>
              <w:rPr>
                <w:rFonts w:hint="eastAsia" w:ascii="宋体" w:hAnsi="宋体"/>
                <w:color w:val="auto"/>
                <w:szCs w:val="21"/>
                <w:highlight w:val="none"/>
              </w:rPr>
              <w:t>1、拟派施工负责人具有地震采集类2个及以上项目业绩，得5分，在此基础上，每额外提供1个业绩加1分，最多加5分，即本项最多得10分。</w:t>
            </w:r>
          </w:p>
          <w:p>
            <w:pPr>
              <w:overflowPunct w:val="0"/>
              <w:autoSpaceDE w:val="0"/>
              <w:autoSpaceDN w:val="0"/>
              <w:snapToGrid w:val="0"/>
              <w:spacing w:line="240" w:lineRule="auto"/>
              <w:rPr>
                <w:rFonts w:hint="eastAsia" w:ascii="宋体" w:hAnsi="宋体"/>
                <w:color w:val="auto"/>
                <w:szCs w:val="21"/>
                <w:highlight w:val="none"/>
              </w:rPr>
            </w:pPr>
            <w:r>
              <w:rPr>
                <w:rFonts w:hint="eastAsia" w:ascii="宋体" w:hAnsi="宋体"/>
                <w:color w:val="auto"/>
                <w:szCs w:val="21"/>
                <w:highlight w:val="none"/>
              </w:rPr>
              <w:t>2、主要技术人员（技术队长、仪器、采集、测量人员）具有中级以上技术职称和类似地区施工经验得10分，部分不具备扣5分，多数没有不得分。</w:t>
            </w:r>
          </w:p>
          <w:p>
            <w:pPr>
              <w:overflowPunct w:val="0"/>
              <w:autoSpaceDE w:val="0"/>
              <w:autoSpaceDN w:val="0"/>
              <w:snapToGrid w:val="0"/>
              <w:spacing w:line="240" w:lineRule="auto"/>
              <w:rPr>
                <w:rFonts w:hint="eastAsia" w:ascii="宋体" w:hAnsi="宋体"/>
                <w:color w:val="auto"/>
                <w:szCs w:val="21"/>
                <w:highlight w:val="none"/>
              </w:rPr>
            </w:pPr>
            <w:r>
              <w:rPr>
                <w:rFonts w:ascii="宋体" w:hAnsi="宋体"/>
                <w:color w:val="auto"/>
                <w:szCs w:val="21"/>
                <w:highlight w:val="none"/>
              </w:rPr>
              <w:t>3、施工人员须具备国家法律法规及中石化相关规定所要求的</w:t>
            </w:r>
            <w:r>
              <w:rPr>
                <w:rFonts w:hint="eastAsia" w:ascii="宋体" w:hAnsi="宋体"/>
                <w:color w:val="auto"/>
                <w:szCs w:val="21"/>
                <w:highlight w:val="none"/>
              </w:rPr>
              <w:t>管理或安全</w:t>
            </w:r>
            <w:r>
              <w:rPr>
                <w:rFonts w:ascii="宋体" w:hAnsi="宋体"/>
                <w:color w:val="auto"/>
                <w:szCs w:val="21"/>
                <w:highlight w:val="none"/>
              </w:rPr>
              <w:t>资质证书，每缺少1项扣</w:t>
            </w:r>
            <w:r>
              <w:rPr>
                <w:rFonts w:hint="eastAsia" w:ascii="宋体" w:hAnsi="宋体"/>
                <w:color w:val="auto"/>
                <w:szCs w:val="21"/>
                <w:highlight w:val="none"/>
              </w:rPr>
              <w:t>2</w:t>
            </w:r>
            <w:r>
              <w:rPr>
                <w:rFonts w:ascii="宋体" w:hAnsi="宋体"/>
                <w:color w:val="auto"/>
                <w:szCs w:val="21"/>
                <w:highlight w:val="none"/>
              </w:rPr>
              <w:t>分，如</w:t>
            </w:r>
            <w:r>
              <w:rPr>
                <w:rFonts w:hint="eastAsia" w:ascii="宋体" w:hAnsi="宋体"/>
                <w:color w:val="auto"/>
                <w:szCs w:val="21"/>
                <w:highlight w:val="none"/>
              </w:rPr>
              <w:t>拟派施工负责人或主要技术人员不具备扣5</w:t>
            </w:r>
            <w:r>
              <w:rPr>
                <w:rFonts w:ascii="宋体" w:hAnsi="宋体"/>
                <w:color w:val="auto"/>
                <w:szCs w:val="21"/>
                <w:highlight w:val="none"/>
              </w:rPr>
              <w:t>分。</w:t>
            </w:r>
          </w:p>
        </w:tc>
        <w:tc>
          <w:tcPr>
            <w:tcW w:w="623" w:type="dxa"/>
            <w:vAlign w:val="center"/>
          </w:tcPr>
          <w:p>
            <w:pPr>
              <w:overflowPunct w:val="0"/>
              <w:autoSpaceDE w:val="0"/>
              <w:autoSpaceDN w:val="0"/>
              <w:snapToGrid w:val="0"/>
              <w:spacing w:line="240" w:lineRule="auto"/>
              <w:jc w:val="center"/>
              <w:rPr>
                <w:rFonts w:hint="eastAsia" w:ascii="宋体" w:hAnsi="宋体"/>
                <w:color w:val="auto"/>
                <w:szCs w:val="21"/>
                <w:highlight w:val="none"/>
              </w:rPr>
            </w:pPr>
            <w:r>
              <w:rPr>
                <w:rFonts w:ascii="宋体" w:hAnsi="宋体"/>
                <w:color w:val="auto"/>
                <w:szCs w:val="21"/>
                <w:highlight w:val="none"/>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trPr>
        <w:tc>
          <w:tcPr>
            <w:tcW w:w="1009" w:type="dxa"/>
            <w:vAlign w:val="center"/>
          </w:tcPr>
          <w:p>
            <w:pPr>
              <w:overflowPunct w:val="0"/>
              <w:autoSpaceDE w:val="0"/>
              <w:autoSpaceDN w:val="0"/>
              <w:spacing w:line="240" w:lineRule="auto"/>
              <w:jc w:val="center"/>
              <w:rPr>
                <w:rFonts w:hint="eastAsia" w:ascii="宋体" w:hAnsi="宋体"/>
                <w:color w:val="auto"/>
                <w:szCs w:val="21"/>
                <w:highlight w:val="none"/>
              </w:rPr>
            </w:pPr>
            <w:r>
              <w:rPr>
                <w:rFonts w:ascii="宋体" w:hAnsi="宋体"/>
                <w:color w:val="auto"/>
                <w:szCs w:val="21"/>
                <w:highlight w:val="none"/>
              </w:rPr>
              <w:t>业绩</w:t>
            </w:r>
          </w:p>
        </w:tc>
        <w:tc>
          <w:tcPr>
            <w:tcW w:w="1072" w:type="dxa"/>
            <w:vAlign w:val="center"/>
          </w:tcPr>
          <w:p>
            <w:pPr>
              <w:overflowPunct w:val="0"/>
              <w:autoSpaceDE w:val="0"/>
              <w:autoSpaceDN w:val="0"/>
              <w:snapToGrid w:val="0"/>
              <w:spacing w:line="240" w:lineRule="auto"/>
              <w:rPr>
                <w:rFonts w:hint="eastAsia" w:ascii="宋体" w:hAnsi="宋体" w:cs="仿宋"/>
                <w:b/>
                <w:color w:val="auto"/>
                <w:szCs w:val="21"/>
                <w:highlight w:val="none"/>
              </w:rPr>
            </w:pPr>
            <w:r>
              <w:rPr>
                <w:rFonts w:ascii="宋体" w:hAnsi="宋体"/>
                <w:color w:val="auto"/>
                <w:szCs w:val="21"/>
                <w:highlight w:val="none"/>
              </w:rPr>
              <w:t>最近</w:t>
            </w:r>
            <w:r>
              <w:rPr>
                <w:rFonts w:hint="eastAsia" w:ascii="宋体" w:hAnsi="宋体"/>
                <w:color w:val="auto"/>
                <w:szCs w:val="21"/>
                <w:highlight w:val="none"/>
              </w:rPr>
              <w:t>三</w:t>
            </w:r>
            <w:r>
              <w:rPr>
                <w:rFonts w:ascii="宋体" w:hAnsi="宋体"/>
                <w:color w:val="auto"/>
                <w:szCs w:val="21"/>
                <w:highlight w:val="none"/>
              </w:rPr>
              <w:t>年业绩</w:t>
            </w:r>
          </w:p>
        </w:tc>
        <w:tc>
          <w:tcPr>
            <w:tcW w:w="5818" w:type="dxa"/>
            <w:vAlign w:val="center"/>
          </w:tcPr>
          <w:p>
            <w:pPr>
              <w:pStyle w:val="71"/>
              <w:widowControl/>
              <w:numPr>
                <w:ilvl w:val="0"/>
                <w:numId w:val="1"/>
              </w:numPr>
              <w:overflowPunct w:val="0"/>
              <w:autoSpaceDE w:val="0"/>
              <w:autoSpaceDN w:val="0"/>
              <w:spacing w:line="240" w:lineRule="auto"/>
              <w:ind w:left="0"/>
              <w:rPr>
                <w:rFonts w:hint="eastAsia" w:ascii="宋体" w:hAnsi="宋体"/>
                <w:color w:val="auto"/>
                <w:szCs w:val="21"/>
                <w:highlight w:val="none"/>
              </w:rPr>
            </w:pPr>
            <w:r>
              <w:rPr>
                <w:rFonts w:hint="eastAsia" w:ascii="宋体" w:hAnsi="宋体"/>
                <w:color w:val="auto"/>
                <w:szCs w:val="21"/>
                <w:highlight w:val="none"/>
              </w:rPr>
              <w:t>投标人近三年（</w:t>
            </w:r>
            <w:r>
              <w:rPr>
                <w:rFonts w:ascii="宋体" w:hAnsi="宋体"/>
                <w:color w:val="auto"/>
                <w:szCs w:val="21"/>
                <w:highlight w:val="none"/>
              </w:rPr>
              <w:t>2021</w:t>
            </w:r>
            <w:r>
              <w:rPr>
                <w:rFonts w:hint="eastAsia" w:ascii="宋体" w:hAnsi="宋体"/>
                <w:color w:val="auto"/>
                <w:szCs w:val="21"/>
                <w:highlight w:val="none"/>
              </w:rPr>
              <w:t>年</w:t>
            </w:r>
            <w:r>
              <w:rPr>
                <w:rFonts w:ascii="宋体" w:hAnsi="宋体"/>
                <w:color w:val="auto"/>
                <w:szCs w:val="21"/>
                <w:highlight w:val="none"/>
              </w:rPr>
              <w:t>1月1日起至投标截止日止，以合同签订时间为准）有</w:t>
            </w:r>
            <w:r>
              <w:rPr>
                <w:rFonts w:hint="eastAsia" w:ascii="宋体" w:hAnsi="宋体"/>
                <w:color w:val="auto"/>
                <w:szCs w:val="21"/>
                <w:highlight w:val="none"/>
              </w:rPr>
              <w:t>2</w:t>
            </w:r>
            <w:r>
              <w:rPr>
                <w:rFonts w:ascii="宋体" w:hAnsi="宋体"/>
                <w:color w:val="auto"/>
                <w:szCs w:val="21"/>
                <w:highlight w:val="none"/>
              </w:rPr>
              <w:t>个</w:t>
            </w:r>
            <w:r>
              <w:rPr>
                <w:rFonts w:hint="eastAsia" w:ascii="宋体" w:hAnsi="宋体"/>
                <w:color w:val="auto"/>
                <w:szCs w:val="21"/>
                <w:highlight w:val="none"/>
              </w:rPr>
              <w:t>地震采集类的项目业绩得10分，在此基础上，每额外提供1个业绩加2分，最多加10分，即本项最多得20分。</w:t>
            </w:r>
          </w:p>
          <w:p>
            <w:pPr>
              <w:pStyle w:val="71"/>
              <w:widowControl/>
              <w:numPr>
                <w:ilvl w:val="0"/>
                <w:numId w:val="1"/>
              </w:numPr>
              <w:overflowPunct w:val="0"/>
              <w:autoSpaceDE w:val="0"/>
              <w:autoSpaceDN w:val="0"/>
              <w:spacing w:line="240" w:lineRule="auto"/>
              <w:ind w:left="0"/>
              <w:rPr>
                <w:rFonts w:hint="eastAsia" w:ascii="宋体" w:hAnsi="宋体" w:cs="仿宋"/>
                <w:b/>
                <w:color w:val="auto"/>
                <w:szCs w:val="21"/>
                <w:highlight w:val="none"/>
              </w:rPr>
            </w:pPr>
            <w:r>
              <w:rPr>
                <w:rFonts w:hint="eastAsia" w:ascii="宋体" w:hAnsi="宋体"/>
                <w:color w:val="auto"/>
                <w:szCs w:val="21"/>
                <w:highlight w:val="none"/>
              </w:rPr>
              <w:t>注：须提供合同复印件，授权代表签字并加盖投标单位公章（包括合同首页、采购内容页、双方盖章页）。</w:t>
            </w:r>
          </w:p>
        </w:tc>
        <w:tc>
          <w:tcPr>
            <w:tcW w:w="623" w:type="dxa"/>
            <w:vAlign w:val="center"/>
          </w:tcPr>
          <w:p>
            <w:pPr>
              <w:pStyle w:val="71"/>
              <w:widowControl/>
              <w:numPr>
                <w:ilvl w:val="0"/>
                <w:numId w:val="1"/>
              </w:numPr>
              <w:overflowPunct w:val="0"/>
              <w:autoSpaceDE w:val="0"/>
              <w:autoSpaceDN w:val="0"/>
              <w:spacing w:line="240" w:lineRule="auto"/>
              <w:ind w:left="0"/>
              <w:jc w:val="center"/>
              <w:rPr>
                <w:rFonts w:hint="eastAsia" w:ascii="宋体" w:hAnsi="宋体"/>
                <w:color w:val="auto"/>
                <w:szCs w:val="21"/>
                <w:highlight w:val="none"/>
              </w:rPr>
            </w:pPr>
            <w:r>
              <w:rPr>
                <w:rFonts w:hint="eastAsia" w:ascii="宋体" w:hAnsi="宋体"/>
                <w:color w:val="auto"/>
                <w:szCs w:val="21"/>
                <w:highlight w:val="none"/>
              </w:rPr>
              <w:t>2</w:t>
            </w:r>
            <w:r>
              <w:rPr>
                <w:rFonts w:ascii="宋体" w:hAnsi="宋体"/>
                <w:color w:val="auto"/>
                <w:szCs w:val="21"/>
                <w:highlight w:val="none"/>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9" w:hRule="atLeast"/>
        </w:trPr>
        <w:tc>
          <w:tcPr>
            <w:tcW w:w="1009" w:type="dxa"/>
            <w:vAlign w:val="center"/>
          </w:tcPr>
          <w:p>
            <w:pPr>
              <w:overflowPunct w:val="0"/>
              <w:autoSpaceDE w:val="0"/>
              <w:autoSpaceDN w:val="0"/>
              <w:snapToGrid w:val="0"/>
              <w:spacing w:line="240" w:lineRule="auto"/>
              <w:jc w:val="center"/>
              <w:rPr>
                <w:rFonts w:hint="eastAsia" w:ascii="宋体" w:hAnsi="宋体" w:cs="仿宋"/>
                <w:b/>
                <w:color w:val="auto"/>
                <w:szCs w:val="21"/>
                <w:highlight w:val="none"/>
              </w:rPr>
            </w:pPr>
            <w:r>
              <w:rPr>
                <w:rFonts w:hint="eastAsia" w:ascii="宋体" w:hAnsi="宋体"/>
                <w:color w:val="auto"/>
                <w:szCs w:val="21"/>
                <w:highlight w:val="none"/>
              </w:rPr>
              <w:t>设备指标</w:t>
            </w:r>
          </w:p>
        </w:tc>
        <w:tc>
          <w:tcPr>
            <w:tcW w:w="1072" w:type="dxa"/>
            <w:vAlign w:val="center"/>
          </w:tcPr>
          <w:p>
            <w:pPr>
              <w:pStyle w:val="71"/>
              <w:widowControl/>
              <w:numPr>
                <w:ilvl w:val="0"/>
                <w:numId w:val="1"/>
              </w:numPr>
              <w:overflowPunct w:val="0"/>
              <w:autoSpaceDE w:val="0"/>
              <w:autoSpaceDN w:val="0"/>
              <w:spacing w:line="240" w:lineRule="auto"/>
              <w:ind w:left="0"/>
              <w:rPr>
                <w:rFonts w:hint="eastAsia" w:ascii="宋体" w:hAnsi="宋体" w:cs="仿宋"/>
                <w:b/>
                <w:color w:val="auto"/>
                <w:szCs w:val="21"/>
                <w:highlight w:val="none"/>
              </w:rPr>
            </w:pPr>
            <w:r>
              <w:rPr>
                <w:rFonts w:hint="eastAsia" w:ascii="宋体" w:hAnsi="宋体"/>
                <w:color w:val="auto"/>
                <w:szCs w:val="21"/>
                <w:highlight w:val="none"/>
              </w:rPr>
              <w:t>测量设备及辅助设备数量及检测证明</w:t>
            </w:r>
          </w:p>
        </w:tc>
        <w:tc>
          <w:tcPr>
            <w:tcW w:w="5818" w:type="dxa"/>
            <w:vAlign w:val="center"/>
          </w:tcPr>
          <w:p>
            <w:pPr>
              <w:pStyle w:val="71"/>
              <w:widowControl/>
              <w:numPr>
                <w:ilvl w:val="0"/>
                <w:numId w:val="1"/>
              </w:numPr>
              <w:overflowPunct w:val="0"/>
              <w:autoSpaceDE w:val="0"/>
              <w:autoSpaceDN w:val="0"/>
              <w:spacing w:line="240" w:lineRule="auto"/>
              <w:ind w:left="0"/>
              <w:rPr>
                <w:rFonts w:hint="eastAsia" w:ascii="宋体" w:hAnsi="宋体" w:cs="仿宋"/>
                <w:b/>
                <w:color w:val="auto"/>
                <w:szCs w:val="21"/>
                <w:highlight w:val="none"/>
              </w:rPr>
            </w:pPr>
            <w:r>
              <w:rPr>
                <w:rFonts w:hint="eastAsia" w:ascii="宋体" w:hAnsi="宋体"/>
                <w:color w:val="auto"/>
                <w:szCs w:val="21"/>
                <w:highlight w:val="none"/>
              </w:rPr>
              <w:t>仪器设备须满足设计及行业标准（SY/T 7372）要求得5分，</w:t>
            </w:r>
            <w:r>
              <w:rPr>
                <w:rFonts w:hint="eastAsia" w:ascii="宋体" w:hAnsi="宋体"/>
                <w:color w:val="auto"/>
                <w:szCs w:val="21"/>
                <w:highlight w:val="none"/>
              </w:rPr>
              <w:t>卫星定位仪器不少于2台，数字地震仪器不少于1台，采集站及检波器数量不少于2000道。</w:t>
            </w:r>
            <w:r>
              <w:rPr>
                <w:rFonts w:hint="eastAsia" w:ascii="宋体" w:hAnsi="宋体"/>
                <w:color w:val="auto"/>
                <w:szCs w:val="21"/>
                <w:highlight w:val="none"/>
              </w:rPr>
              <w:t>每出现一项不满足扣2分。</w:t>
            </w:r>
          </w:p>
          <w:p>
            <w:pPr>
              <w:pStyle w:val="71"/>
              <w:widowControl/>
              <w:numPr>
                <w:ilvl w:val="0"/>
                <w:numId w:val="1"/>
              </w:numPr>
              <w:overflowPunct w:val="0"/>
              <w:autoSpaceDE w:val="0"/>
              <w:autoSpaceDN w:val="0"/>
              <w:spacing w:line="240" w:lineRule="auto"/>
              <w:ind w:left="0"/>
              <w:rPr>
                <w:rFonts w:hint="eastAsia" w:ascii="宋体" w:hAnsi="宋体" w:cs="仿宋"/>
                <w:b/>
                <w:color w:val="auto"/>
                <w:szCs w:val="21"/>
                <w:highlight w:val="none"/>
              </w:rPr>
            </w:pPr>
            <w:r>
              <w:rPr>
                <w:rFonts w:hint="eastAsia" w:ascii="宋体" w:hAnsi="宋体"/>
                <w:color w:val="auto"/>
                <w:szCs w:val="21"/>
                <w:highlight w:val="none"/>
              </w:rPr>
              <w:t>具有行业先进设备加</w:t>
            </w:r>
            <w:r>
              <w:rPr>
                <w:rFonts w:ascii="宋体" w:hAnsi="宋体"/>
                <w:color w:val="auto"/>
                <w:szCs w:val="21"/>
                <w:highlight w:val="none"/>
              </w:rPr>
              <w:t>5分</w:t>
            </w:r>
            <w:r>
              <w:rPr>
                <w:rFonts w:hint="eastAsia" w:ascii="宋体" w:hAnsi="宋体"/>
                <w:color w:val="auto"/>
                <w:szCs w:val="21"/>
                <w:highlight w:val="none"/>
              </w:rPr>
              <w:t>。</w:t>
            </w:r>
          </w:p>
        </w:tc>
        <w:tc>
          <w:tcPr>
            <w:tcW w:w="623" w:type="dxa"/>
            <w:vAlign w:val="center"/>
          </w:tcPr>
          <w:p>
            <w:pPr>
              <w:pStyle w:val="71"/>
              <w:widowControl/>
              <w:numPr>
                <w:ilvl w:val="0"/>
                <w:numId w:val="1"/>
              </w:numPr>
              <w:overflowPunct w:val="0"/>
              <w:autoSpaceDE w:val="0"/>
              <w:autoSpaceDN w:val="0"/>
              <w:spacing w:line="240" w:lineRule="auto"/>
              <w:ind w:left="0"/>
              <w:jc w:val="center"/>
              <w:rPr>
                <w:rFonts w:hint="eastAsia" w:ascii="宋体" w:hAnsi="宋体"/>
                <w:color w:val="auto"/>
                <w:szCs w:val="21"/>
                <w:highlight w:val="none"/>
              </w:rPr>
            </w:pPr>
            <w:r>
              <w:rPr>
                <w:rFonts w:hint="eastAsia" w:ascii="宋体" w:hAnsi="宋体"/>
                <w:color w:val="auto"/>
                <w:szCs w:val="21"/>
                <w:highlight w:val="none"/>
              </w:rPr>
              <w:t>1</w:t>
            </w:r>
            <w:r>
              <w:rPr>
                <w:rFonts w:ascii="宋体" w:hAnsi="宋体"/>
                <w:color w:val="auto"/>
                <w:szCs w:val="21"/>
                <w:highlight w:val="none"/>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9" w:hRule="atLeast"/>
        </w:trPr>
        <w:tc>
          <w:tcPr>
            <w:tcW w:w="1009" w:type="dxa"/>
            <w:vAlign w:val="center"/>
          </w:tcPr>
          <w:p>
            <w:pPr>
              <w:overflowPunct w:val="0"/>
              <w:autoSpaceDE w:val="0"/>
              <w:autoSpaceDN w:val="0"/>
              <w:snapToGrid w:val="0"/>
              <w:spacing w:line="240" w:lineRule="auto"/>
              <w:jc w:val="center"/>
              <w:rPr>
                <w:rFonts w:hint="eastAsia" w:ascii="宋体" w:hAnsi="宋体" w:cs="仿宋"/>
                <w:b/>
                <w:color w:val="auto"/>
                <w:szCs w:val="21"/>
                <w:highlight w:val="none"/>
              </w:rPr>
            </w:pPr>
            <w:r>
              <w:rPr>
                <w:rFonts w:ascii="宋体" w:hAnsi="宋体"/>
                <w:color w:val="auto"/>
                <w:szCs w:val="21"/>
                <w:highlight w:val="none"/>
              </w:rPr>
              <w:t>技术</w:t>
            </w:r>
            <w:r>
              <w:rPr>
                <w:rFonts w:hint="eastAsia" w:ascii="宋体" w:hAnsi="宋体"/>
                <w:color w:val="auto"/>
                <w:szCs w:val="21"/>
                <w:highlight w:val="none"/>
              </w:rPr>
              <w:t>指标</w:t>
            </w:r>
          </w:p>
        </w:tc>
        <w:tc>
          <w:tcPr>
            <w:tcW w:w="1072" w:type="dxa"/>
            <w:vAlign w:val="center"/>
          </w:tcPr>
          <w:p>
            <w:pPr>
              <w:overflowPunct w:val="0"/>
              <w:autoSpaceDE w:val="0"/>
              <w:autoSpaceDN w:val="0"/>
              <w:snapToGrid w:val="0"/>
              <w:spacing w:line="240" w:lineRule="auto"/>
              <w:rPr>
                <w:rFonts w:hint="eastAsia" w:ascii="宋体" w:hAnsi="宋体" w:cs="仿宋"/>
                <w:b/>
                <w:color w:val="auto"/>
                <w:szCs w:val="21"/>
                <w:highlight w:val="none"/>
              </w:rPr>
            </w:pPr>
            <w:r>
              <w:rPr>
                <w:rFonts w:hint="eastAsia" w:ascii="宋体" w:hAnsi="宋体"/>
                <w:color w:val="auto"/>
                <w:szCs w:val="21"/>
                <w:highlight w:val="none"/>
              </w:rPr>
              <w:t>适合本地区地震地质条件的野外采集施工实施方案</w:t>
            </w:r>
          </w:p>
        </w:tc>
        <w:tc>
          <w:tcPr>
            <w:tcW w:w="5818" w:type="dxa"/>
            <w:vAlign w:val="center"/>
          </w:tcPr>
          <w:p>
            <w:pPr>
              <w:widowControl/>
              <w:overflowPunct w:val="0"/>
              <w:autoSpaceDE w:val="0"/>
              <w:autoSpaceDN w:val="0"/>
              <w:spacing w:line="240" w:lineRule="auto"/>
              <w:rPr>
                <w:rFonts w:hint="eastAsia" w:ascii="宋体" w:hAnsi="宋体"/>
                <w:color w:val="auto"/>
                <w:szCs w:val="21"/>
                <w:highlight w:val="none"/>
              </w:rPr>
            </w:pPr>
            <w:r>
              <w:rPr>
                <w:rFonts w:ascii="宋体" w:hAnsi="宋体"/>
                <w:color w:val="auto"/>
                <w:szCs w:val="21"/>
                <w:highlight w:val="none"/>
              </w:rPr>
              <w:t>1、实施方案满足本次野外施工相关要求，内容科学合理且针对性强，得5</w:t>
            </w:r>
            <w:r>
              <w:rPr>
                <w:rFonts w:hint="eastAsia" w:ascii="宋体" w:hAnsi="宋体"/>
                <w:color w:val="auto"/>
                <w:szCs w:val="21"/>
                <w:highlight w:val="none"/>
              </w:rPr>
              <w:t>分，有欠缺得</w:t>
            </w:r>
            <w:r>
              <w:rPr>
                <w:rFonts w:ascii="宋体" w:hAnsi="宋体"/>
                <w:color w:val="auto"/>
                <w:szCs w:val="21"/>
                <w:highlight w:val="none"/>
              </w:rPr>
              <w:t>3</w:t>
            </w:r>
            <w:r>
              <w:rPr>
                <w:rFonts w:hint="eastAsia" w:ascii="宋体" w:hAnsi="宋体"/>
                <w:color w:val="auto"/>
                <w:szCs w:val="21"/>
                <w:highlight w:val="none"/>
              </w:rPr>
              <w:t>分，有明显缺陷得</w:t>
            </w:r>
            <w:r>
              <w:rPr>
                <w:rFonts w:ascii="宋体" w:hAnsi="宋体"/>
                <w:color w:val="auto"/>
                <w:szCs w:val="21"/>
                <w:highlight w:val="none"/>
              </w:rPr>
              <w:t>1</w:t>
            </w:r>
            <w:r>
              <w:rPr>
                <w:rFonts w:hint="eastAsia" w:ascii="宋体" w:hAnsi="宋体"/>
                <w:color w:val="auto"/>
                <w:szCs w:val="21"/>
                <w:highlight w:val="none"/>
              </w:rPr>
              <w:t>分；</w:t>
            </w:r>
          </w:p>
          <w:p>
            <w:pPr>
              <w:widowControl/>
              <w:overflowPunct w:val="0"/>
              <w:autoSpaceDE w:val="0"/>
              <w:autoSpaceDN w:val="0"/>
              <w:spacing w:line="240" w:lineRule="auto"/>
              <w:rPr>
                <w:rFonts w:hint="eastAsia" w:ascii="宋体" w:hAnsi="宋体"/>
                <w:color w:val="auto"/>
                <w:szCs w:val="21"/>
                <w:highlight w:val="none"/>
              </w:rPr>
            </w:pPr>
            <w:r>
              <w:rPr>
                <w:rFonts w:ascii="宋体" w:hAnsi="宋体"/>
                <w:color w:val="auto"/>
                <w:szCs w:val="21"/>
                <w:highlight w:val="none"/>
              </w:rPr>
              <w:t>2、本次施工的技术措施具体、充分、切实可行得5</w:t>
            </w:r>
            <w:r>
              <w:rPr>
                <w:rFonts w:hint="eastAsia" w:ascii="宋体" w:hAnsi="宋体"/>
                <w:color w:val="auto"/>
                <w:szCs w:val="21"/>
                <w:highlight w:val="none"/>
              </w:rPr>
              <w:t>分，有欠缺得</w:t>
            </w:r>
            <w:r>
              <w:rPr>
                <w:rFonts w:ascii="宋体" w:hAnsi="宋体"/>
                <w:color w:val="auto"/>
                <w:szCs w:val="21"/>
                <w:highlight w:val="none"/>
              </w:rPr>
              <w:t>3</w:t>
            </w:r>
            <w:r>
              <w:rPr>
                <w:rFonts w:hint="eastAsia" w:ascii="宋体" w:hAnsi="宋体"/>
                <w:color w:val="auto"/>
                <w:szCs w:val="21"/>
                <w:highlight w:val="none"/>
              </w:rPr>
              <w:t>分，有明显缺陷得</w:t>
            </w:r>
            <w:r>
              <w:rPr>
                <w:rFonts w:ascii="宋体" w:hAnsi="宋体"/>
                <w:color w:val="auto"/>
                <w:szCs w:val="21"/>
                <w:highlight w:val="none"/>
              </w:rPr>
              <w:t>1</w:t>
            </w:r>
            <w:r>
              <w:rPr>
                <w:rFonts w:hint="eastAsia" w:ascii="宋体" w:hAnsi="宋体"/>
                <w:color w:val="auto"/>
                <w:szCs w:val="21"/>
                <w:highlight w:val="none"/>
              </w:rPr>
              <w:t>分；</w:t>
            </w:r>
            <w:r>
              <w:rPr>
                <w:rFonts w:ascii="宋体" w:hAnsi="宋体"/>
                <w:color w:val="auto"/>
                <w:szCs w:val="21"/>
                <w:highlight w:val="none"/>
              </w:rPr>
              <w:t xml:space="preserve"> </w:t>
            </w:r>
          </w:p>
          <w:p>
            <w:pPr>
              <w:widowControl/>
              <w:overflowPunct w:val="0"/>
              <w:autoSpaceDE w:val="0"/>
              <w:autoSpaceDN w:val="0"/>
              <w:spacing w:line="240" w:lineRule="auto"/>
              <w:rPr>
                <w:rFonts w:hint="eastAsia" w:ascii="宋体" w:hAnsi="宋体"/>
                <w:color w:val="auto"/>
                <w:szCs w:val="21"/>
                <w:highlight w:val="none"/>
              </w:rPr>
            </w:pPr>
            <w:r>
              <w:rPr>
                <w:rFonts w:ascii="宋体" w:hAnsi="宋体"/>
                <w:color w:val="auto"/>
                <w:szCs w:val="21"/>
                <w:highlight w:val="none"/>
              </w:rPr>
              <w:t>3、采用的施工工艺和方法满足本次施工技术要求得5</w:t>
            </w:r>
            <w:r>
              <w:rPr>
                <w:rFonts w:hint="eastAsia" w:ascii="宋体" w:hAnsi="宋体"/>
                <w:color w:val="auto"/>
                <w:szCs w:val="21"/>
                <w:highlight w:val="none"/>
              </w:rPr>
              <w:t>分，有欠缺得</w:t>
            </w:r>
            <w:r>
              <w:rPr>
                <w:rFonts w:ascii="宋体" w:hAnsi="宋体"/>
                <w:color w:val="auto"/>
                <w:szCs w:val="21"/>
                <w:highlight w:val="none"/>
              </w:rPr>
              <w:t>3</w:t>
            </w:r>
            <w:r>
              <w:rPr>
                <w:rFonts w:hint="eastAsia" w:ascii="宋体" w:hAnsi="宋体"/>
                <w:color w:val="auto"/>
                <w:szCs w:val="21"/>
                <w:highlight w:val="none"/>
              </w:rPr>
              <w:t>分，有明显缺陷得</w:t>
            </w:r>
            <w:r>
              <w:rPr>
                <w:rFonts w:ascii="宋体" w:hAnsi="宋体"/>
                <w:color w:val="auto"/>
                <w:szCs w:val="21"/>
                <w:highlight w:val="none"/>
              </w:rPr>
              <w:t>1</w:t>
            </w:r>
            <w:r>
              <w:rPr>
                <w:rFonts w:hint="eastAsia" w:ascii="宋体" w:hAnsi="宋体"/>
                <w:color w:val="auto"/>
                <w:szCs w:val="21"/>
                <w:highlight w:val="none"/>
              </w:rPr>
              <w:t>分；</w:t>
            </w:r>
          </w:p>
        </w:tc>
        <w:tc>
          <w:tcPr>
            <w:tcW w:w="623" w:type="dxa"/>
            <w:vAlign w:val="center"/>
          </w:tcPr>
          <w:p>
            <w:pPr>
              <w:widowControl/>
              <w:overflowPunct w:val="0"/>
              <w:autoSpaceDE w:val="0"/>
              <w:autoSpaceDN w:val="0"/>
              <w:spacing w:line="240" w:lineRule="auto"/>
              <w:jc w:val="center"/>
              <w:rPr>
                <w:rFonts w:hint="eastAsia" w:ascii="宋体" w:hAnsi="宋体"/>
                <w:color w:val="auto"/>
                <w:szCs w:val="21"/>
                <w:highlight w:val="none"/>
              </w:rPr>
            </w:pPr>
            <w:r>
              <w:rPr>
                <w:rFonts w:ascii="宋体" w:hAnsi="宋体"/>
                <w:color w:val="auto"/>
                <w:szCs w:val="21"/>
                <w:highlight w:val="none"/>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trPr>
        <w:tc>
          <w:tcPr>
            <w:tcW w:w="1009" w:type="dxa"/>
            <w:vMerge w:val="restart"/>
            <w:vAlign w:val="center"/>
          </w:tcPr>
          <w:p>
            <w:pPr>
              <w:overflowPunct w:val="0"/>
              <w:autoSpaceDE w:val="0"/>
              <w:autoSpaceDN w:val="0"/>
              <w:spacing w:line="240" w:lineRule="auto"/>
              <w:jc w:val="center"/>
              <w:rPr>
                <w:rFonts w:hint="eastAsia" w:ascii="宋体" w:hAnsi="宋体"/>
                <w:color w:val="auto"/>
                <w:szCs w:val="21"/>
                <w:highlight w:val="none"/>
              </w:rPr>
            </w:pPr>
            <w:r>
              <w:rPr>
                <w:rFonts w:hint="eastAsia" w:ascii="宋体" w:hAnsi="宋体"/>
                <w:color w:val="auto"/>
                <w:szCs w:val="21"/>
                <w:highlight w:val="none"/>
              </w:rPr>
              <w:t>承诺与</w:t>
            </w:r>
          </w:p>
          <w:p>
            <w:pPr>
              <w:overflowPunct w:val="0"/>
              <w:autoSpaceDE w:val="0"/>
              <w:autoSpaceDN w:val="0"/>
              <w:spacing w:line="240" w:lineRule="auto"/>
              <w:jc w:val="center"/>
              <w:rPr>
                <w:rFonts w:hint="eastAsia" w:ascii="宋体" w:hAnsi="宋体"/>
                <w:color w:val="auto"/>
                <w:szCs w:val="21"/>
                <w:highlight w:val="none"/>
              </w:rPr>
            </w:pPr>
            <w:r>
              <w:rPr>
                <w:rFonts w:hint="eastAsia" w:ascii="宋体" w:hAnsi="宋体"/>
                <w:color w:val="auto"/>
                <w:szCs w:val="21"/>
                <w:highlight w:val="none"/>
              </w:rPr>
              <w:t>保障</w:t>
            </w:r>
          </w:p>
          <w:p>
            <w:pPr>
              <w:overflowPunct w:val="0"/>
              <w:autoSpaceDE w:val="0"/>
              <w:autoSpaceDN w:val="0"/>
              <w:snapToGrid w:val="0"/>
              <w:spacing w:line="240" w:lineRule="auto"/>
              <w:jc w:val="center"/>
              <w:rPr>
                <w:rFonts w:hint="eastAsia" w:ascii="宋体" w:hAnsi="宋体" w:cs="仿宋"/>
                <w:b/>
                <w:color w:val="auto"/>
                <w:szCs w:val="21"/>
                <w:highlight w:val="none"/>
              </w:rPr>
            </w:pPr>
          </w:p>
        </w:tc>
        <w:tc>
          <w:tcPr>
            <w:tcW w:w="1072" w:type="dxa"/>
            <w:vAlign w:val="center"/>
          </w:tcPr>
          <w:p>
            <w:pPr>
              <w:overflowPunct w:val="0"/>
              <w:autoSpaceDE w:val="0"/>
              <w:autoSpaceDN w:val="0"/>
              <w:snapToGrid w:val="0"/>
              <w:spacing w:line="240" w:lineRule="auto"/>
              <w:rPr>
                <w:rFonts w:hint="eastAsia" w:ascii="宋体" w:hAnsi="宋体" w:cs="仿宋"/>
                <w:b/>
                <w:color w:val="auto"/>
                <w:szCs w:val="21"/>
                <w:highlight w:val="none"/>
              </w:rPr>
            </w:pPr>
            <w:r>
              <w:rPr>
                <w:rFonts w:hint="eastAsia" w:ascii="宋体" w:hAnsi="宋体"/>
                <w:color w:val="auto"/>
                <w:szCs w:val="21"/>
                <w:highlight w:val="none"/>
              </w:rPr>
              <w:t>施工质量承诺及保障措施</w:t>
            </w:r>
          </w:p>
        </w:tc>
        <w:tc>
          <w:tcPr>
            <w:tcW w:w="5818" w:type="dxa"/>
            <w:vAlign w:val="center"/>
          </w:tcPr>
          <w:p>
            <w:pPr>
              <w:overflowPunct w:val="0"/>
              <w:autoSpaceDE w:val="0"/>
              <w:autoSpaceDN w:val="0"/>
              <w:snapToGrid w:val="0"/>
              <w:spacing w:line="240" w:lineRule="auto"/>
              <w:rPr>
                <w:rFonts w:hint="eastAsia" w:ascii="宋体" w:hAnsi="宋体" w:cs="仿宋"/>
                <w:b/>
                <w:color w:val="auto"/>
                <w:szCs w:val="21"/>
                <w:highlight w:val="none"/>
              </w:rPr>
            </w:pPr>
            <w:r>
              <w:rPr>
                <w:rFonts w:hint="eastAsia" w:ascii="宋体" w:hAnsi="宋体"/>
                <w:color w:val="auto"/>
                <w:szCs w:val="21"/>
                <w:highlight w:val="none"/>
              </w:rPr>
              <w:t>施工质量、技术保障、设备完好承诺合理的得</w:t>
            </w:r>
            <w:r>
              <w:rPr>
                <w:rFonts w:ascii="宋体" w:hAnsi="宋体"/>
                <w:color w:val="auto"/>
                <w:szCs w:val="21"/>
                <w:highlight w:val="none"/>
              </w:rPr>
              <w:t>10</w:t>
            </w:r>
            <w:r>
              <w:rPr>
                <w:rFonts w:hint="eastAsia" w:ascii="宋体" w:hAnsi="宋体"/>
                <w:color w:val="auto"/>
                <w:szCs w:val="21"/>
                <w:highlight w:val="none"/>
              </w:rPr>
              <w:t>分，无质量承诺扣</w:t>
            </w:r>
            <w:r>
              <w:rPr>
                <w:rFonts w:ascii="宋体" w:hAnsi="宋体"/>
                <w:color w:val="auto"/>
                <w:szCs w:val="21"/>
                <w:highlight w:val="none"/>
              </w:rPr>
              <w:t>2</w:t>
            </w:r>
            <w:r>
              <w:rPr>
                <w:rFonts w:hint="eastAsia" w:ascii="宋体" w:hAnsi="宋体"/>
                <w:color w:val="auto"/>
                <w:szCs w:val="21"/>
                <w:highlight w:val="none"/>
              </w:rPr>
              <w:t>分，保障措施不合理扣</w:t>
            </w:r>
            <w:r>
              <w:rPr>
                <w:rFonts w:ascii="宋体" w:hAnsi="宋体"/>
                <w:color w:val="auto"/>
                <w:szCs w:val="21"/>
                <w:highlight w:val="none"/>
              </w:rPr>
              <w:t>2</w:t>
            </w:r>
            <w:r>
              <w:rPr>
                <w:rFonts w:hint="eastAsia" w:ascii="宋体" w:hAnsi="宋体"/>
                <w:color w:val="auto"/>
                <w:szCs w:val="21"/>
                <w:highlight w:val="none"/>
              </w:rPr>
              <w:t>分。</w:t>
            </w:r>
          </w:p>
        </w:tc>
        <w:tc>
          <w:tcPr>
            <w:tcW w:w="623" w:type="dxa"/>
            <w:vAlign w:val="center"/>
          </w:tcPr>
          <w:p>
            <w:pPr>
              <w:overflowPunct w:val="0"/>
              <w:autoSpaceDE w:val="0"/>
              <w:autoSpaceDN w:val="0"/>
              <w:snapToGrid w:val="0"/>
              <w:spacing w:line="240" w:lineRule="auto"/>
              <w:jc w:val="center"/>
              <w:rPr>
                <w:rFonts w:hint="eastAsia" w:ascii="宋体" w:hAnsi="宋体"/>
                <w:color w:val="auto"/>
                <w:szCs w:val="21"/>
                <w:highlight w:val="none"/>
              </w:rPr>
            </w:pPr>
            <w:r>
              <w:rPr>
                <w:rFonts w:ascii="宋体" w:hAnsi="宋体"/>
                <w:color w:val="auto"/>
                <w:szCs w:val="21"/>
                <w:highlight w:val="none"/>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atLeast"/>
        </w:trPr>
        <w:tc>
          <w:tcPr>
            <w:tcW w:w="1009" w:type="dxa"/>
            <w:vMerge w:val="continue"/>
            <w:vAlign w:val="center"/>
          </w:tcPr>
          <w:p>
            <w:pPr>
              <w:overflowPunct w:val="0"/>
              <w:autoSpaceDE w:val="0"/>
              <w:autoSpaceDN w:val="0"/>
              <w:snapToGrid w:val="0"/>
              <w:spacing w:line="240" w:lineRule="auto"/>
              <w:rPr>
                <w:rFonts w:hint="eastAsia" w:ascii="宋体" w:hAnsi="宋体" w:cs="仿宋"/>
                <w:b/>
                <w:color w:val="auto"/>
                <w:szCs w:val="21"/>
                <w:highlight w:val="none"/>
              </w:rPr>
            </w:pPr>
          </w:p>
        </w:tc>
        <w:tc>
          <w:tcPr>
            <w:tcW w:w="1072" w:type="dxa"/>
            <w:vAlign w:val="center"/>
          </w:tcPr>
          <w:p>
            <w:pPr>
              <w:overflowPunct w:val="0"/>
              <w:autoSpaceDE w:val="0"/>
              <w:autoSpaceDN w:val="0"/>
              <w:snapToGrid w:val="0"/>
              <w:spacing w:line="240" w:lineRule="auto"/>
              <w:rPr>
                <w:rFonts w:hint="eastAsia" w:ascii="宋体" w:hAnsi="宋体" w:cs="仿宋"/>
                <w:b/>
                <w:color w:val="auto"/>
                <w:szCs w:val="21"/>
                <w:highlight w:val="none"/>
              </w:rPr>
            </w:pPr>
            <w:r>
              <w:rPr>
                <w:rFonts w:ascii="宋体" w:hAnsi="宋体"/>
                <w:color w:val="auto"/>
                <w:szCs w:val="21"/>
                <w:highlight w:val="none"/>
              </w:rPr>
              <w:t>HSE管理体系、安全承诺及应急预案</w:t>
            </w:r>
          </w:p>
        </w:tc>
        <w:tc>
          <w:tcPr>
            <w:tcW w:w="5818" w:type="dxa"/>
            <w:vAlign w:val="center"/>
          </w:tcPr>
          <w:p>
            <w:pPr>
              <w:overflowPunct w:val="0"/>
              <w:autoSpaceDE w:val="0"/>
              <w:autoSpaceDN w:val="0"/>
              <w:snapToGrid w:val="0"/>
              <w:spacing w:line="240" w:lineRule="auto"/>
              <w:rPr>
                <w:rFonts w:hint="eastAsia" w:ascii="宋体" w:hAnsi="宋体" w:cs="仿宋"/>
                <w:b/>
                <w:color w:val="auto"/>
                <w:szCs w:val="21"/>
                <w:highlight w:val="none"/>
              </w:rPr>
            </w:pPr>
            <w:r>
              <w:rPr>
                <w:rFonts w:ascii="宋体" w:hAnsi="宋体"/>
                <w:color w:val="auto"/>
                <w:szCs w:val="21"/>
                <w:highlight w:val="none"/>
              </w:rPr>
              <w:t>HSE体系完整、有安全环保承诺及针对性应急预案得10</w:t>
            </w:r>
            <w:r>
              <w:rPr>
                <w:rFonts w:hint="eastAsia" w:ascii="宋体" w:hAnsi="宋体"/>
                <w:color w:val="auto"/>
                <w:szCs w:val="21"/>
                <w:highlight w:val="none"/>
              </w:rPr>
              <w:t>分，</w:t>
            </w:r>
            <w:r>
              <w:rPr>
                <w:rFonts w:ascii="宋体" w:hAnsi="宋体"/>
                <w:color w:val="auto"/>
                <w:szCs w:val="21"/>
                <w:highlight w:val="none"/>
              </w:rPr>
              <w:t>HSE体系不完整扣3</w:t>
            </w:r>
            <w:r>
              <w:rPr>
                <w:rFonts w:hint="eastAsia" w:ascii="宋体" w:hAnsi="宋体"/>
                <w:color w:val="auto"/>
                <w:szCs w:val="21"/>
                <w:highlight w:val="none"/>
              </w:rPr>
              <w:t>分，应急预案针对性不强扣</w:t>
            </w:r>
            <w:r>
              <w:rPr>
                <w:rFonts w:ascii="宋体" w:hAnsi="宋体"/>
                <w:color w:val="auto"/>
                <w:szCs w:val="21"/>
                <w:highlight w:val="none"/>
              </w:rPr>
              <w:t>3</w:t>
            </w:r>
            <w:r>
              <w:rPr>
                <w:rFonts w:hint="eastAsia" w:ascii="宋体" w:hAnsi="宋体"/>
                <w:color w:val="auto"/>
                <w:szCs w:val="21"/>
                <w:highlight w:val="none"/>
              </w:rPr>
              <w:t>分，没有安全承诺或应急预案不得分。</w:t>
            </w:r>
          </w:p>
        </w:tc>
        <w:tc>
          <w:tcPr>
            <w:tcW w:w="623" w:type="dxa"/>
            <w:vAlign w:val="center"/>
          </w:tcPr>
          <w:p>
            <w:pPr>
              <w:overflowPunct w:val="0"/>
              <w:autoSpaceDE w:val="0"/>
              <w:autoSpaceDN w:val="0"/>
              <w:snapToGrid w:val="0"/>
              <w:spacing w:line="240" w:lineRule="auto"/>
              <w:jc w:val="center"/>
              <w:rPr>
                <w:rFonts w:hint="eastAsia" w:ascii="宋体" w:hAnsi="宋体"/>
                <w:color w:val="auto"/>
                <w:szCs w:val="21"/>
                <w:highlight w:val="none"/>
              </w:rPr>
            </w:pPr>
            <w:r>
              <w:rPr>
                <w:rFonts w:ascii="宋体" w:hAnsi="宋体"/>
                <w:color w:val="auto"/>
                <w:szCs w:val="21"/>
                <w:highlight w:val="none"/>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1009" w:type="dxa"/>
            <w:vMerge w:val="continue"/>
            <w:vAlign w:val="center"/>
          </w:tcPr>
          <w:p>
            <w:pPr>
              <w:overflowPunct w:val="0"/>
              <w:autoSpaceDE w:val="0"/>
              <w:autoSpaceDN w:val="0"/>
              <w:snapToGrid w:val="0"/>
              <w:spacing w:line="240" w:lineRule="auto"/>
              <w:rPr>
                <w:rFonts w:hint="eastAsia" w:ascii="宋体" w:hAnsi="宋体" w:cs="仿宋"/>
                <w:b/>
                <w:color w:val="auto"/>
                <w:szCs w:val="21"/>
                <w:highlight w:val="none"/>
              </w:rPr>
            </w:pPr>
          </w:p>
        </w:tc>
        <w:tc>
          <w:tcPr>
            <w:tcW w:w="1072" w:type="dxa"/>
            <w:vAlign w:val="center"/>
          </w:tcPr>
          <w:p>
            <w:pPr>
              <w:overflowPunct w:val="0"/>
              <w:autoSpaceDE w:val="0"/>
              <w:autoSpaceDN w:val="0"/>
              <w:snapToGrid w:val="0"/>
              <w:spacing w:line="240" w:lineRule="auto"/>
              <w:rPr>
                <w:rFonts w:hint="eastAsia" w:ascii="宋体" w:hAnsi="宋体" w:cs="仿宋"/>
                <w:b/>
                <w:color w:val="auto"/>
                <w:szCs w:val="21"/>
                <w:highlight w:val="none"/>
              </w:rPr>
            </w:pPr>
            <w:r>
              <w:rPr>
                <w:rFonts w:hint="eastAsia" w:ascii="宋体" w:hAnsi="宋体"/>
                <w:color w:val="auto"/>
                <w:szCs w:val="21"/>
                <w:highlight w:val="none"/>
              </w:rPr>
              <w:t>后勤保障能力</w:t>
            </w:r>
          </w:p>
        </w:tc>
        <w:tc>
          <w:tcPr>
            <w:tcW w:w="5818" w:type="dxa"/>
            <w:vAlign w:val="center"/>
          </w:tcPr>
          <w:p>
            <w:pPr>
              <w:overflowPunct w:val="0"/>
              <w:autoSpaceDE w:val="0"/>
              <w:autoSpaceDN w:val="0"/>
              <w:snapToGrid w:val="0"/>
              <w:spacing w:line="240" w:lineRule="auto"/>
              <w:rPr>
                <w:rFonts w:hint="eastAsia" w:ascii="宋体" w:hAnsi="宋体" w:cs="仿宋"/>
                <w:b/>
                <w:color w:val="auto"/>
                <w:szCs w:val="21"/>
                <w:highlight w:val="none"/>
              </w:rPr>
            </w:pPr>
            <w:r>
              <w:rPr>
                <w:rFonts w:hint="eastAsia" w:ascii="宋体" w:hAnsi="宋体"/>
                <w:color w:val="auto"/>
                <w:szCs w:val="21"/>
                <w:highlight w:val="none"/>
              </w:rPr>
              <w:t>后勤保障能力强得</w:t>
            </w:r>
            <w:r>
              <w:rPr>
                <w:rFonts w:ascii="宋体" w:hAnsi="宋体"/>
                <w:color w:val="auto"/>
                <w:szCs w:val="21"/>
                <w:highlight w:val="none"/>
              </w:rPr>
              <w:t>5</w:t>
            </w:r>
            <w:r>
              <w:rPr>
                <w:rFonts w:hint="eastAsia" w:ascii="宋体" w:hAnsi="宋体"/>
                <w:color w:val="auto"/>
                <w:szCs w:val="21"/>
                <w:highlight w:val="none"/>
              </w:rPr>
              <w:t>分，一般扣</w:t>
            </w:r>
            <w:r>
              <w:rPr>
                <w:rFonts w:ascii="宋体" w:hAnsi="宋体"/>
                <w:color w:val="auto"/>
                <w:szCs w:val="21"/>
                <w:highlight w:val="none"/>
              </w:rPr>
              <w:t>2</w:t>
            </w:r>
            <w:r>
              <w:rPr>
                <w:rFonts w:hint="eastAsia" w:ascii="宋体" w:hAnsi="宋体"/>
                <w:color w:val="auto"/>
                <w:szCs w:val="21"/>
                <w:highlight w:val="none"/>
              </w:rPr>
              <w:t>分。</w:t>
            </w:r>
          </w:p>
        </w:tc>
        <w:tc>
          <w:tcPr>
            <w:tcW w:w="623" w:type="dxa"/>
            <w:vAlign w:val="center"/>
          </w:tcPr>
          <w:p>
            <w:pPr>
              <w:overflowPunct w:val="0"/>
              <w:autoSpaceDE w:val="0"/>
              <w:autoSpaceDN w:val="0"/>
              <w:snapToGrid w:val="0"/>
              <w:spacing w:line="240" w:lineRule="auto"/>
              <w:jc w:val="center"/>
              <w:rPr>
                <w:rFonts w:hint="eastAsia" w:ascii="宋体" w:hAnsi="宋体"/>
                <w:color w:val="auto"/>
                <w:szCs w:val="21"/>
                <w:highlight w:val="none"/>
              </w:rPr>
            </w:pPr>
            <w:r>
              <w:rPr>
                <w:rFonts w:ascii="宋体" w:hAnsi="宋体"/>
                <w:color w:val="auto"/>
                <w:szCs w:val="21"/>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7899" w:type="dxa"/>
            <w:gridSpan w:val="3"/>
            <w:vAlign w:val="center"/>
          </w:tcPr>
          <w:p>
            <w:pPr>
              <w:overflowPunct w:val="0"/>
              <w:autoSpaceDE w:val="0"/>
              <w:autoSpaceDN w:val="0"/>
              <w:snapToGrid w:val="0"/>
              <w:spacing w:line="240" w:lineRule="auto"/>
              <w:jc w:val="center"/>
              <w:rPr>
                <w:rFonts w:hint="eastAsia" w:ascii="宋体" w:hAnsi="宋体"/>
                <w:color w:val="auto"/>
                <w:szCs w:val="21"/>
                <w:highlight w:val="none"/>
              </w:rPr>
            </w:pPr>
            <w:r>
              <w:rPr>
                <w:rFonts w:hint="eastAsia" w:ascii="宋体" w:hAnsi="宋体"/>
                <w:color w:val="auto"/>
                <w:szCs w:val="21"/>
                <w:highlight w:val="none"/>
              </w:rPr>
              <w:t>技术总得分</w:t>
            </w:r>
          </w:p>
        </w:tc>
        <w:tc>
          <w:tcPr>
            <w:tcW w:w="623" w:type="dxa"/>
            <w:vAlign w:val="center"/>
          </w:tcPr>
          <w:p>
            <w:pPr>
              <w:overflowPunct w:val="0"/>
              <w:autoSpaceDE w:val="0"/>
              <w:autoSpaceDN w:val="0"/>
              <w:snapToGrid w:val="0"/>
              <w:spacing w:line="240" w:lineRule="auto"/>
              <w:jc w:val="center"/>
              <w:rPr>
                <w:rFonts w:hint="eastAsia" w:ascii="宋体" w:hAnsi="宋体"/>
                <w:color w:val="auto"/>
                <w:szCs w:val="21"/>
                <w:highlight w:val="none"/>
              </w:rPr>
            </w:pPr>
            <w:r>
              <w:rPr>
                <w:rFonts w:ascii="宋体" w:hAnsi="宋体"/>
                <w:color w:val="auto"/>
                <w:szCs w:val="21"/>
                <w:highlight w:val="none"/>
              </w:rPr>
              <w:t>100</w:t>
            </w:r>
          </w:p>
        </w:tc>
      </w:tr>
    </w:tbl>
    <w:p>
      <w:pPr>
        <w:spacing w:line="460" w:lineRule="exact"/>
        <w:ind w:firstLine="480"/>
        <w:rPr>
          <w:rFonts w:hint="eastAsia" w:ascii="宋体" w:hAnsi="宋体"/>
          <w:color w:val="auto"/>
          <w:sz w:val="24"/>
          <w:highlight w:val="none"/>
        </w:rPr>
      </w:pPr>
    </w:p>
    <w:p>
      <w:pPr>
        <w:spacing w:line="460" w:lineRule="exact"/>
        <w:ind w:firstLine="480"/>
        <w:rPr>
          <w:rFonts w:hint="eastAsia" w:ascii="宋体" w:hAnsi="宋体"/>
          <w:color w:val="auto"/>
          <w:sz w:val="24"/>
          <w:highlight w:val="none"/>
        </w:rPr>
      </w:pPr>
    </w:p>
    <w:p>
      <w:pPr>
        <w:spacing w:line="460" w:lineRule="exact"/>
        <w:ind w:firstLine="480"/>
        <w:rPr>
          <w:rFonts w:hint="eastAsia" w:ascii="宋体" w:hAnsi="宋体"/>
          <w:color w:val="auto"/>
          <w:sz w:val="24"/>
          <w:highlight w:val="none"/>
        </w:rPr>
      </w:pPr>
    </w:p>
    <w:p>
      <w:pPr>
        <w:spacing w:line="460" w:lineRule="exact"/>
        <w:ind w:firstLine="480"/>
        <w:rPr>
          <w:rFonts w:hint="eastAsia" w:ascii="宋体" w:hAnsi="宋体"/>
          <w:color w:val="auto"/>
          <w:sz w:val="24"/>
          <w:highlight w:val="none"/>
        </w:rPr>
      </w:pPr>
    </w:p>
    <w:p>
      <w:pPr>
        <w:spacing w:line="460" w:lineRule="exact"/>
        <w:ind w:firstLine="480"/>
        <w:rPr>
          <w:rFonts w:hint="eastAsia" w:ascii="宋体" w:hAnsi="宋体"/>
          <w:color w:val="auto"/>
          <w:sz w:val="24"/>
          <w:highlight w:val="none"/>
        </w:rPr>
      </w:pPr>
      <w:r>
        <w:rPr>
          <w:rFonts w:hint="eastAsia" w:ascii="宋体" w:hAnsi="宋体"/>
          <w:color w:val="auto"/>
          <w:sz w:val="24"/>
          <w:highlight w:val="none"/>
        </w:rPr>
        <w:t>6.5.2 商务计分：满分100分，权重40%</w:t>
      </w:r>
    </w:p>
    <w:p>
      <w:pPr>
        <w:spacing w:line="460" w:lineRule="exact"/>
        <w:ind w:firstLine="480"/>
        <w:rPr>
          <w:rFonts w:hint="eastAsia" w:ascii="宋体" w:hAnsi="宋体"/>
          <w:color w:val="auto"/>
          <w:sz w:val="24"/>
          <w:highlight w:val="none"/>
        </w:rPr>
      </w:pPr>
      <w:r>
        <w:rPr>
          <w:rFonts w:hint="eastAsia" w:ascii="宋体" w:hAnsi="宋体"/>
          <w:color w:val="auto"/>
          <w:sz w:val="24"/>
          <w:highlight w:val="none"/>
        </w:rPr>
        <w:t>根据所有初步评审合格意向方的商务报价一览表中地面微地震监测野外施工技术服务及设备租赁总价格报价，计算所有有效报价对应的分数，具体评分标准如下：</w:t>
      </w:r>
    </w:p>
    <w:p>
      <w:pPr>
        <w:spacing w:line="360" w:lineRule="auto"/>
        <w:ind w:firstLine="562"/>
        <w:jc w:val="center"/>
        <w:rPr>
          <w:rFonts w:hint="eastAsia" w:ascii="宋体" w:hAnsi="宋体" w:cs="仿宋"/>
          <w:b/>
          <w:color w:val="auto"/>
          <w:highlight w:val="none"/>
        </w:rPr>
      </w:pPr>
      <w:r>
        <w:rPr>
          <w:rFonts w:hint="eastAsia" w:ascii="宋体" w:hAnsi="宋体" w:cs="宋体"/>
          <w:b/>
          <w:bCs/>
          <w:color w:val="auto"/>
          <w:sz w:val="28"/>
          <w:szCs w:val="28"/>
          <w:highlight w:val="none"/>
        </w:rPr>
        <w:t>商务标计分表</w:t>
      </w:r>
    </w:p>
    <w:tbl>
      <w:tblPr>
        <w:tblStyle w:val="2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65"/>
        <w:gridCol w:w="833"/>
        <w:gridCol w:w="1495"/>
        <w:gridCol w:w="4568"/>
        <w:gridCol w:w="5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000" w:type="pct"/>
            <w:gridSpan w:val="5"/>
            <w:vAlign w:val="center"/>
          </w:tcPr>
          <w:p>
            <w:pPr>
              <w:widowControl/>
              <w:jc w:val="center"/>
              <w:rPr>
                <w:rFonts w:hint="eastAsia" w:ascii="宋体" w:hAnsi="宋体" w:cs="宋体"/>
                <w:color w:val="auto"/>
                <w:highlight w:val="none"/>
              </w:rPr>
            </w:pPr>
            <w:r>
              <w:rPr>
                <w:rFonts w:hint="eastAsia" w:ascii="宋体" w:hAnsi="宋体" w:cs="宋体"/>
                <w:color w:val="auto"/>
                <w:highlight w:val="none"/>
              </w:rPr>
              <w:t>商务部分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25" w:type="pct"/>
            <w:vAlign w:val="center"/>
          </w:tcPr>
          <w:p>
            <w:pPr>
              <w:widowControl/>
              <w:jc w:val="center"/>
              <w:rPr>
                <w:rFonts w:hint="eastAsia" w:ascii="宋体" w:hAnsi="宋体" w:cs="宋体"/>
                <w:color w:val="auto"/>
                <w:highlight w:val="none"/>
              </w:rPr>
            </w:pPr>
            <w:r>
              <w:rPr>
                <w:rFonts w:hint="eastAsia" w:ascii="宋体" w:hAnsi="宋体" w:cs="宋体"/>
                <w:color w:val="auto"/>
                <w:highlight w:val="none"/>
              </w:rPr>
              <w:t>类别</w:t>
            </w:r>
          </w:p>
        </w:tc>
        <w:tc>
          <w:tcPr>
            <w:tcW w:w="489" w:type="pct"/>
            <w:vAlign w:val="center"/>
          </w:tcPr>
          <w:p>
            <w:pPr>
              <w:widowControl/>
              <w:jc w:val="center"/>
              <w:rPr>
                <w:rFonts w:hint="eastAsia" w:ascii="宋体" w:hAnsi="宋体" w:cs="宋体"/>
                <w:color w:val="auto"/>
                <w:highlight w:val="none"/>
              </w:rPr>
            </w:pPr>
            <w:r>
              <w:rPr>
                <w:rFonts w:hint="eastAsia" w:ascii="宋体" w:hAnsi="宋体" w:cs="宋体"/>
                <w:color w:val="auto"/>
                <w:highlight w:val="none"/>
              </w:rPr>
              <w:t>项</w:t>
            </w:r>
            <w:r>
              <w:rPr>
                <w:rFonts w:ascii="宋体" w:hAnsi="宋体" w:cs="宋体"/>
                <w:color w:val="auto"/>
                <w:highlight w:val="none"/>
              </w:rPr>
              <w:t xml:space="preserve">  </w:t>
            </w:r>
            <w:r>
              <w:rPr>
                <w:rFonts w:hint="eastAsia" w:ascii="宋体" w:hAnsi="宋体" w:cs="宋体"/>
                <w:color w:val="auto"/>
                <w:highlight w:val="none"/>
              </w:rPr>
              <w:t>目</w:t>
            </w:r>
          </w:p>
        </w:tc>
        <w:tc>
          <w:tcPr>
            <w:tcW w:w="877" w:type="pct"/>
            <w:vAlign w:val="center"/>
          </w:tcPr>
          <w:p>
            <w:pPr>
              <w:widowControl/>
              <w:jc w:val="center"/>
              <w:rPr>
                <w:rFonts w:hint="eastAsia" w:ascii="宋体" w:hAnsi="宋体" w:cs="宋体"/>
                <w:color w:val="auto"/>
                <w:highlight w:val="none"/>
              </w:rPr>
            </w:pPr>
            <w:r>
              <w:rPr>
                <w:rFonts w:hint="eastAsia" w:ascii="宋体" w:hAnsi="宋体" w:cs="宋体"/>
                <w:color w:val="auto"/>
                <w:highlight w:val="none"/>
              </w:rPr>
              <w:t>最高限价</w:t>
            </w:r>
          </w:p>
        </w:tc>
        <w:tc>
          <w:tcPr>
            <w:tcW w:w="2680" w:type="pct"/>
            <w:vAlign w:val="center"/>
          </w:tcPr>
          <w:p>
            <w:pPr>
              <w:widowControl/>
              <w:jc w:val="center"/>
              <w:rPr>
                <w:rFonts w:hint="eastAsia" w:ascii="宋体" w:hAnsi="宋体" w:cs="宋体"/>
                <w:color w:val="auto"/>
                <w:highlight w:val="none"/>
              </w:rPr>
            </w:pPr>
            <w:r>
              <w:rPr>
                <w:rFonts w:hint="eastAsia" w:ascii="宋体" w:hAnsi="宋体" w:cs="宋体"/>
                <w:color w:val="auto"/>
                <w:highlight w:val="none"/>
              </w:rPr>
              <w:t>评分标准</w:t>
            </w:r>
          </w:p>
        </w:tc>
        <w:tc>
          <w:tcPr>
            <w:tcW w:w="329" w:type="pct"/>
            <w:vAlign w:val="center"/>
          </w:tcPr>
          <w:p>
            <w:pPr>
              <w:widowControl/>
              <w:jc w:val="center"/>
              <w:rPr>
                <w:rFonts w:hint="eastAsia" w:ascii="宋体" w:hAnsi="宋体" w:cs="宋体"/>
                <w:color w:val="auto"/>
                <w:highlight w:val="none"/>
              </w:rPr>
            </w:pPr>
            <w:r>
              <w:rPr>
                <w:rFonts w:hint="eastAsia" w:ascii="宋体" w:hAnsi="宋体" w:cs="宋体"/>
                <w:color w:val="auto"/>
                <w:highlight w:val="none"/>
              </w:rPr>
              <w:t>分数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25" w:type="pct"/>
            <w:vMerge w:val="restart"/>
            <w:vAlign w:val="center"/>
          </w:tcPr>
          <w:p>
            <w:pPr>
              <w:widowControl/>
              <w:jc w:val="center"/>
              <w:rPr>
                <w:rFonts w:hint="eastAsia" w:ascii="宋体" w:hAnsi="宋体" w:cs="宋体"/>
                <w:color w:val="auto"/>
                <w:highlight w:val="none"/>
              </w:rPr>
            </w:pPr>
            <w:r>
              <w:rPr>
                <w:rFonts w:hint="eastAsia" w:ascii="宋体" w:hAnsi="宋体" w:cs="宋体"/>
                <w:color w:val="auto"/>
                <w:highlight w:val="none"/>
              </w:rPr>
              <w:t>地面微地震监测野外施工费</w:t>
            </w:r>
          </w:p>
        </w:tc>
        <w:tc>
          <w:tcPr>
            <w:tcW w:w="489" w:type="pct"/>
            <w:vAlign w:val="center"/>
          </w:tcPr>
          <w:p>
            <w:pPr>
              <w:widowControl/>
              <w:jc w:val="center"/>
              <w:rPr>
                <w:rFonts w:hint="eastAsia" w:ascii="宋体" w:hAnsi="宋体" w:cs="宋体"/>
                <w:color w:val="auto"/>
                <w:highlight w:val="none"/>
              </w:rPr>
            </w:pPr>
            <w:r>
              <w:rPr>
                <w:rFonts w:hint="eastAsia" w:ascii="宋体" w:hAnsi="宋体" w:cs="宋体"/>
                <w:color w:val="auto"/>
                <w:highlight w:val="none"/>
              </w:rPr>
              <w:t>压裂监测起步价</w:t>
            </w:r>
          </w:p>
        </w:tc>
        <w:tc>
          <w:tcPr>
            <w:tcW w:w="877" w:type="pct"/>
            <w:vAlign w:val="center"/>
          </w:tcPr>
          <w:p>
            <w:pPr>
              <w:widowControl/>
              <w:jc w:val="center"/>
              <w:rPr>
                <w:rFonts w:hint="eastAsia" w:ascii="宋体" w:hAnsi="宋体" w:cs="宋体"/>
                <w:color w:val="auto"/>
                <w:highlight w:val="none"/>
              </w:rPr>
            </w:pPr>
            <w:r>
              <w:rPr>
                <w:rFonts w:hint="eastAsia" w:ascii="宋体" w:hAnsi="宋体" w:cs="宋体"/>
                <w:color w:val="auto"/>
                <w:highlight w:val="none"/>
              </w:rPr>
              <w:t>29万元（含1200道/压裂施工10天）</w:t>
            </w:r>
          </w:p>
        </w:tc>
        <w:tc>
          <w:tcPr>
            <w:tcW w:w="2680" w:type="pct"/>
            <w:vAlign w:val="center"/>
          </w:tcPr>
          <w:p>
            <w:pPr>
              <w:widowControl/>
              <w:jc w:val="left"/>
              <w:rPr>
                <w:rFonts w:hint="eastAsia" w:ascii="宋体" w:hAnsi="宋体" w:cs="宋体"/>
                <w:color w:val="auto"/>
                <w:highlight w:val="none"/>
              </w:rPr>
            </w:pPr>
            <w:r>
              <w:rPr>
                <w:rFonts w:hint="eastAsia" w:ascii="宋体" w:hAnsi="宋体" w:cs="宋体"/>
                <w:color w:val="auto"/>
                <w:highlight w:val="none"/>
              </w:rPr>
              <w:t>报价等于项目最高限价的，得分为14分；合同报价每低于项目最高限价的1%，加0.4分，最大加分为6分。报价低于最高限价的85%的，需要做出低价说明。</w:t>
            </w:r>
          </w:p>
        </w:tc>
        <w:tc>
          <w:tcPr>
            <w:tcW w:w="329" w:type="pct"/>
            <w:vAlign w:val="center"/>
          </w:tcPr>
          <w:p>
            <w:pPr>
              <w:widowControl/>
              <w:jc w:val="center"/>
              <w:rPr>
                <w:rFonts w:hint="eastAsia" w:ascii="宋体" w:hAnsi="宋体" w:cs="宋体"/>
                <w:color w:val="auto"/>
                <w:highlight w:val="none"/>
              </w:rPr>
            </w:pPr>
            <w:r>
              <w:rPr>
                <w:rFonts w:hint="eastAsia" w:ascii="宋体" w:hAnsi="宋体" w:cs="宋体"/>
                <w:color w:val="auto"/>
                <w:highlight w:val="none"/>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25" w:type="pct"/>
            <w:vMerge w:val="continue"/>
            <w:vAlign w:val="center"/>
          </w:tcPr>
          <w:p>
            <w:pPr>
              <w:widowControl/>
              <w:jc w:val="center"/>
              <w:rPr>
                <w:rFonts w:hint="eastAsia" w:ascii="宋体" w:hAnsi="宋体" w:cs="宋体"/>
                <w:color w:val="auto"/>
                <w:highlight w:val="none"/>
              </w:rPr>
            </w:pPr>
          </w:p>
        </w:tc>
        <w:tc>
          <w:tcPr>
            <w:tcW w:w="489" w:type="pct"/>
            <w:vAlign w:val="center"/>
          </w:tcPr>
          <w:p>
            <w:pPr>
              <w:widowControl/>
              <w:jc w:val="center"/>
              <w:rPr>
                <w:rFonts w:hint="eastAsia" w:ascii="宋体" w:hAnsi="宋体" w:cs="宋体"/>
                <w:color w:val="auto"/>
                <w:highlight w:val="none"/>
              </w:rPr>
            </w:pPr>
            <w:r>
              <w:rPr>
                <w:rFonts w:hint="eastAsia" w:ascii="宋体" w:hAnsi="宋体" w:cs="宋体"/>
                <w:color w:val="auto"/>
                <w:highlight w:val="none"/>
              </w:rPr>
              <w:t>道单价</w:t>
            </w:r>
          </w:p>
        </w:tc>
        <w:tc>
          <w:tcPr>
            <w:tcW w:w="877" w:type="pct"/>
            <w:vAlign w:val="center"/>
          </w:tcPr>
          <w:p>
            <w:pPr>
              <w:widowControl/>
              <w:jc w:val="center"/>
              <w:rPr>
                <w:rFonts w:hint="eastAsia" w:ascii="宋体" w:hAnsi="宋体" w:cs="宋体"/>
                <w:color w:val="auto"/>
                <w:highlight w:val="none"/>
              </w:rPr>
            </w:pPr>
            <w:r>
              <w:rPr>
                <w:rFonts w:hint="eastAsia" w:ascii="宋体" w:hAnsi="宋体" w:cs="宋体"/>
                <w:color w:val="auto"/>
                <w:highlight w:val="none"/>
              </w:rPr>
              <w:t>超过1200道的部分，110元/道</w:t>
            </w:r>
          </w:p>
        </w:tc>
        <w:tc>
          <w:tcPr>
            <w:tcW w:w="2680" w:type="pct"/>
            <w:vAlign w:val="center"/>
          </w:tcPr>
          <w:p>
            <w:pPr>
              <w:widowControl/>
              <w:jc w:val="center"/>
              <w:rPr>
                <w:rFonts w:hint="eastAsia" w:ascii="宋体" w:hAnsi="宋体" w:cs="宋体"/>
                <w:color w:val="auto"/>
                <w:highlight w:val="none"/>
              </w:rPr>
            </w:pPr>
            <w:r>
              <w:rPr>
                <w:rFonts w:hint="eastAsia" w:ascii="宋体" w:hAnsi="宋体" w:cs="宋体"/>
                <w:color w:val="auto"/>
                <w:highlight w:val="none"/>
              </w:rPr>
              <w:t>报价等于项目最高限价的，得分为7分；合同报价每低于项目最高限价的1%，加0.2分，最大加分为3分。报价低于最高限价的85%的，需要做出低价说明。</w:t>
            </w:r>
          </w:p>
        </w:tc>
        <w:tc>
          <w:tcPr>
            <w:tcW w:w="329" w:type="pct"/>
            <w:vAlign w:val="center"/>
          </w:tcPr>
          <w:p>
            <w:pPr>
              <w:widowControl/>
              <w:jc w:val="center"/>
              <w:rPr>
                <w:rFonts w:hint="eastAsia" w:ascii="宋体" w:hAnsi="宋体" w:cs="宋体"/>
                <w:color w:val="auto"/>
                <w:highlight w:val="none"/>
              </w:rPr>
            </w:pPr>
            <w:r>
              <w:rPr>
                <w:rFonts w:hint="eastAsia" w:ascii="宋体" w:hAnsi="宋体" w:cs="宋体"/>
                <w:color w:val="auto"/>
                <w:highlight w:val="none"/>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25" w:type="pct"/>
            <w:vMerge w:val="continue"/>
            <w:vAlign w:val="center"/>
          </w:tcPr>
          <w:p>
            <w:pPr>
              <w:widowControl/>
              <w:jc w:val="center"/>
              <w:rPr>
                <w:rFonts w:hint="eastAsia" w:ascii="宋体" w:hAnsi="宋体" w:cs="宋体"/>
                <w:color w:val="auto"/>
                <w:highlight w:val="none"/>
              </w:rPr>
            </w:pPr>
          </w:p>
        </w:tc>
        <w:tc>
          <w:tcPr>
            <w:tcW w:w="489" w:type="pct"/>
            <w:vAlign w:val="center"/>
          </w:tcPr>
          <w:p>
            <w:pPr>
              <w:widowControl/>
              <w:jc w:val="center"/>
              <w:rPr>
                <w:rFonts w:hint="eastAsia" w:ascii="宋体" w:hAnsi="宋体" w:cs="宋体"/>
                <w:color w:val="auto"/>
                <w:highlight w:val="none"/>
              </w:rPr>
            </w:pPr>
            <w:r>
              <w:rPr>
                <w:rFonts w:hint="eastAsia" w:ascii="宋体" w:hAnsi="宋体" w:cs="宋体"/>
                <w:color w:val="auto"/>
                <w:highlight w:val="none"/>
              </w:rPr>
              <w:t>压裂日费</w:t>
            </w:r>
          </w:p>
        </w:tc>
        <w:tc>
          <w:tcPr>
            <w:tcW w:w="877" w:type="pct"/>
            <w:vAlign w:val="center"/>
          </w:tcPr>
          <w:p>
            <w:pPr>
              <w:widowControl/>
              <w:jc w:val="center"/>
              <w:rPr>
                <w:rFonts w:hint="eastAsia" w:ascii="宋体" w:hAnsi="宋体" w:cs="宋体"/>
                <w:color w:val="auto"/>
                <w:highlight w:val="none"/>
              </w:rPr>
            </w:pPr>
            <w:r>
              <w:rPr>
                <w:rFonts w:hint="eastAsia" w:ascii="宋体" w:hAnsi="宋体" w:cs="宋体"/>
                <w:color w:val="auto"/>
                <w:highlight w:val="none"/>
              </w:rPr>
              <w:t>压裂施工超过10天的，5000元/天</w:t>
            </w:r>
          </w:p>
        </w:tc>
        <w:tc>
          <w:tcPr>
            <w:tcW w:w="2680" w:type="pct"/>
            <w:vAlign w:val="center"/>
          </w:tcPr>
          <w:p>
            <w:pPr>
              <w:widowControl/>
              <w:jc w:val="center"/>
              <w:rPr>
                <w:rFonts w:hint="eastAsia" w:ascii="宋体" w:hAnsi="宋体" w:cs="宋体"/>
                <w:color w:val="auto"/>
                <w:highlight w:val="none"/>
              </w:rPr>
            </w:pPr>
            <w:r>
              <w:rPr>
                <w:rFonts w:hint="eastAsia" w:ascii="宋体" w:hAnsi="宋体" w:cs="宋体"/>
                <w:color w:val="auto"/>
                <w:highlight w:val="none"/>
              </w:rPr>
              <w:t>报价等于项目最高限价的，得分为7分；合同报价每低于项目最高限价的1%，加0.2分，最大加分为3分。报价低于最高限价的85%的，需要做出低价说明。</w:t>
            </w:r>
          </w:p>
        </w:tc>
        <w:tc>
          <w:tcPr>
            <w:tcW w:w="329" w:type="pct"/>
            <w:vAlign w:val="center"/>
          </w:tcPr>
          <w:p>
            <w:pPr>
              <w:widowControl/>
              <w:jc w:val="center"/>
              <w:rPr>
                <w:rFonts w:hint="eastAsia" w:ascii="宋体" w:hAnsi="宋体" w:cs="宋体"/>
                <w:color w:val="auto"/>
                <w:highlight w:val="none"/>
              </w:rPr>
            </w:pPr>
            <w:r>
              <w:rPr>
                <w:rFonts w:hint="eastAsia" w:ascii="宋体" w:hAnsi="宋体" w:cs="宋体"/>
                <w:color w:val="auto"/>
                <w:highlight w:val="none"/>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25" w:type="pct"/>
            <w:vMerge w:val="continue"/>
            <w:vAlign w:val="center"/>
          </w:tcPr>
          <w:p>
            <w:pPr>
              <w:widowControl/>
              <w:jc w:val="center"/>
              <w:rPr>
                <w:rFonts w:hint="eastAsia" w:ascii="宋体" w:hAnsi="宋体" w:cs="宋体"/>
                <w:color w:val="auto"/>
                <w:highlight w:val="none"/>
              </w:rPr>
            </w:pPr>
          </w:p>
        </w:tc>
        <w:tc>
          <w:tcPr>
            <w:tcW w:w="489" w:type="pct"/>
            <w:vAlign w:val="center"/>
          </w:tcPr>
          <w:p>
            <w:pPr>
              <w:widowControl/>
              <w:jc w:val="center"/>
              <w:rPr>
                <w:rFonts w:hint="eastAsia" w:ascii="宋体" w:hAnsi="宋体" w:cs="宋体"/>
                <w:color w:val="auto"/>
                <w:highlight w:val="none"/>
              </w:rPr>
            </w:pPr>
            <w:r>
              <w:rPr>
                <w:rFonts w:hint="eastAsia" w:ascii="宋体" w:hAnsi="宋体" w:cs="宋体"/>
                <w:color w:val="auto"/>
                <w:highlight w:val="none"/>
              </w:rPr>
              <w:t>停待日费</w:t>
            </w:r>
          </w:p>
        </w:tc>
        <w:tc>
          <w:tcPr>
            <w:tcW w:w="877" w:type="pct"/>
            <w:vAlign w:val="center"/>
          </w:tcPr>
          <w:p>
            <w:pPr>
              <w:widowControl/>
              <w:jc w:val="center"/>
              <w:rPr>
                <w:rFonts w:hint="eastAsia" w:ascii="宋体" w:hAnsi="宋体" w:cs="宋体"/>
                <w:color w:val="auto"/>
                <w:highlight w:val="none"/>
              </w:rPr>
            </w:pPr>
            <w:r>
              <w:rPr>
                <w:rFonts w:hint="eastAsia" w:ascii="宋体" w:hAnsi="宋体" w:cs="宋体"/>
                <w:color w:val="auto"/>
                <w:highlight w:val="none"/>
              </w:rPr>
              <w:t>压裂期间因甲方原因停待，4000元/天</w:t>
            </w:r>
          </w:p>
        </w:tc>
        <w:tc>
          <w:tcPr>
            <w:tcW w:w="2680" w:type="pct"/>
            <w:vAlign w:val="center"/>
          </w:tcPr>
          <w:p>
            <w:pPr>
              <w:widowControl/>
              <w:jc w:val="center"/>
              <w:rPr>
                <w:rFonts w:hint="eastAsia" w:ascii="宋体" w:hAnsi="宋体" w:cs="宋体"/>
                <w:color w:val="auto"/>
                <w:highlight w:val="none"/>
              </w:rPr>
            </w:pPr>
            <w:r>
              <w:rPr>
                <w:rFonts w:hint="eastAsia" w:ascii="宋体" w:hAnsi="宋体" w:cs="宋体"/>
                <w:color w:val="auto"/>
                <w:highlight w:val="none"/>
              </w:rPr>
              <w:t>报价等于项目最高限价的，得分为7分；合同报价每低于项目最高限价的1%，加0.2分，最大加分为3分。报价低于最高限价的85%的，需要做出低价说明。</w:t>
            </w:r>
          </w:p>
        </w:tc>
        <w:tc>
          <w:tcPr>
            <w:tcW w:w="329" w:type="pct"/>
            <w:vAlign w:val="center"/>
          </w:tcPr>
          <w:p>
            <w:pPr>
              <w:widowControl/>
              <w:jc w:val="center"/>
              <w:rPr>
                <w:rFonts w:hint="eastAsia" w:ascii="宋体" w:hAnsi="宋体" w:cs="宋体"/>
                <w:color w:val="auto"/>
                <w:highlight w:val="none"/>
              </w:rPr>
            </w:pPr>
            <w:r>
              <w:rPr>
                <w:rFonts w:hint="eastAsia" w:ascii="宋体" w:hAnsi="宋体" w:cs="宋体"/>
                <w:color w:val="auto"/>
                <w:highlight w:val="none"/>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25" w:type="pct"/>
            <w:vMerge w:val="continue"/>
            <w:vAlign w:val="center"/>
          </w:tcPr>
          <w:p>
            <w:pPr>
              <w:widowControl/>
              <w:jc w:val="center"/>
              <w:rPr>
                <w:rFonts w:hint="eastAsia" w:ascii="宋体" w:hAnsi="宋体" w:cs="宋体"/>
                <w:color w:val="auto"/>
                <w:highlight w:val="none"/>
              </w:rPr>
            </w:pPr>
          </w:p>
        </w:tc>
        <w:tc>
          <w:tcPr>
            <w:tcW w:w="489" w:type="pct"/>
            <w:vAlign w:val="center"/>
          </w:tcPr>
          <w:p>
            <w:pPr>
              <w:widowControl/>
              <w:jc w:val="center"/>
              <w:rPr>
                <w:rFonts w:hint="eastAsia" w:ascii="宋体" w:hAnsi="宋体" w:cs="宋体"/>
                <w:color w:val="auto"/>
                <w:highlight w:val="none"/>
              </w:rPr>
            </w:pPr>
            <w:r>
              <w:rPr>
                <w:rFonts w:hint="eastAsia" w:ascii="宋体" w:hAnsi="宋体" w:cs="宋体"/>
                <w:color w:val="auto"/>
                <w:highlight w:val="none"/>
              </w:rPr>
              <w:t>野外施工费封顶价</w:t>
            </w:r>
          </w:p>
        </w:tc>
        <w:tc>
          <w:tcPr>
            <w:tcW w:w="877" w:type="pct"/>
            <w:vAlign w:val="center"/>
          </w:tcPr>
          <w:p>
            <w:pPr>
              <w:widowControl/>
              <w:jc w:val="center"/>
              <w:rPr>
                <w:rFonts w:hint="eastAsia" w:ascii="宋体" w:hAnsi="宋体" w:cs="宋体"/>
                <w:color w:val="auto"/>
                <w:highlight w:val="none"/>
              </w:rPr>
            </w:pPr>
            <w:r>
              <w:rPr>
                <w:rFonts w:hint="eastAsia" w:ascii="宋体" w:hAnsi="宋体" w:cs="宋体"/>
                <w:color w:val="auto"/>
                <w:highlight w:val="none"/>
              </w:rPr>
              <w:t>50万元</w:t>
            </w:r>
          </w:p>
        </w:tc>
        <w:tc>
          <w:tcPr>
            <w:tcW w:w="2680" w:type="pct"/>
            <w:vAlign w:val="center"/>
          </w:tcPr>
          <w:p>
            <w:pPr>
              <w:widowControl/>
              <w:jc w:val="center"/>
              <w:rPr>
                <w:rFonts w:hint="eastAsia" w:ascii="宋体" w:hAnsi="宋体" w:cs="宋体"/>
                <w:color w:val="auto"/>
                <w:highlight w:val="none"/>
              </w:rPr>
            </w:pPr>
            <w:r>
              <w:rPr>
                <w:rFonts w:hint="eastAsia" w:ascii="宋体" w:hAnsi="宋体" w:cs="宋体"/>
                <w:color w:val="auto"/>
                <w:highlight w:val="none"/>
              </w:rPr>
              <w:t>报价等于项目最高限价的，得分为14分；合同报价每低于项目最高限价的1%，加0.4分，最大加分为6分。报价低于最高限价的85%的，需要做出低价说明。</w:t>
            </w:r>
          </w:p>
        </w:tc>
        <w:tc>
          <w:tcPr>
            <w:tcW w:w="329" w:type="pct"/>
            <w:vAlign w:val="center"/>
          </w:tcPr>
          <w:p>
            <w:pPr>
              <w:widowControl/>
              <w:jc w:val="center"/>
              <w:rPr>
                <w:rFonts w:hint="eastAsia" w:ascii="宋体" w:hAnsi="宋体" w:cs="宋体"/>
                <w:color w:val="auto"/>
                <w:highlight w:val="none"/>
              </w:rPr>
            </w:pPr>
            <w:r>
              <w:rPr>
                <w:rFonts w:hint="eastAsia" w:ascii="宋体" w:hAnsi="宋体" w:cs="宋体"/>
                <w:color w:val="auto"/>
                <w:highlight w:val="none"/>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25" w:type="pct"/>
            <w:vMerge w:val="restart"/>
            <w:vAlign w:val="center"/>
          </w:tcPr>
          <w:p>
            <w:pPr>
              <w:widowControl/>
              <w:jc w:val="center"/>
              <w:rPr>
                <w:rFonts w:hint="eastAsia" w:ascii="宋体" w:hAnsi="宋体" w:cs="宋体"/>
                <w:color w:val="auto"/>
                <w:highlight w:val="none"/>
              </w:rPr>
            </w:pPr>
            <w:r>
              <w:rPr>
                <w:rFonts w:hint="eastAsia" w:ascii="宋体" w:hAnsi="宋体" w:cs="宋体"/>
                <w:color w:val="auto"/>
                <w:highlight w:val="none"/>
              </w:rPr>
              <w:t>设备租赁费</w:t>
            </w:r>
          </w:p>
        </w:tc>
        <w:tc>
          <w:tcPr>
            <w:tcW w:w="489" w:type="pct"/>
            <w:vAlign w:val="center"/>
          </w:tcPr>
          <w:p>
            <w:pPr>
              <w:widowControl/>
              <w:jc w:val="center"/>
              <w:rPr>
                <w:rFonts w:hint="eastAsia" w:ascii="宋体" w:hAnsi="宋体" w:cs="宋体"/>
                <w:color w:val="auto"/>
                <w:highlight w:val="none"/>
              </w:rPr>
            </w:pPr>
            <w:r>
              <w:rPr>
                <w:rFonts w:hint="eastAsia" w:ascii="宋体" w:hAnsi="宋体" w:cs="宋体"/>
                <w:color w:val="auto"/>
                <w:highlight w:val="none"/>
              </w:rPr>
              <w:t>设备租赁单价</w:t>
            </w:r>
          </w:p>
        </w:tc>
        <w:tc>
          <w:tcPr>
            <w:tcW w:w="877" w:type="pct"/>
            <w:vAlign w:val="center"/>
          </w:tcPr>
          <w:p>
            <w:pPr>
              <w:widowControl/>
              <w:jc w:val="center"/>
              <w:rPr>
                <w:rFonts w:hint="eastAsia" w:ascii="宋体" w:hAnsi="宋体" w:cs="宋体"/>
                <w:color w:val="auto"/>
                <w:highlight w:val="none"/>
              </w:rPr>
            </w:pPr>
            <w:r>
              <w:rPr>
                <w:rFonts w:hint="eastAsia" w:ascii="宋体" w:hAnsi="宋体" w:cs="宋体"/>
                <w:color w:val="auto"/>
                <w:highlight w:val="none"/>
              </w:rPr>
              <w:t>6.87元/道</w:t>
            </w:r>
          </w:p>
        </w:tc>
        <w:tc>
          <w:tcPr>
            <w:tcW w:w="2680" w:type="pct"/>
            <w:vAlign w:val="center"/>
          </w:tcPr>
          <w:p>
            <w:pPr>
              <w:widowControl/>
              <w:jc w:val="center"/>
              <w:rPr>
                <w:rFonts w:hint="eastAsia" w:ascii="宋体" w:hAnsi="宋体" w:cs="宋体"/>
                <w:color w:val="auto"/>
                <w:highlight w:val="none"/>
              </w:rPr>
            </w:pPr>
            <w:r>
              <w:rPr>
                <w:rFonts w:hint="eastAsia" w:ascii="宋体" w:hAnsi="宋体" w:cs="宋体"/>
                <w:color w:val="auto"/>
                <w:highlight w:val="none"/>
              </w:rPr>
              <w:t>报价等于项目最高限价的，得分为14分；合同报价每低于项目最高限价的1%，加0.4分，最大加分为6分。报价低于最高限价的85%的，需要做出低价说明。</w:t>
            </w:r>
          </w:p>
        </w:tc>
        <w:tc>
          <w:tcPr>
            <w:tcW w:w="329" w:type="pct"/>
            <w:vAlign w:val="center"/>
          </w:tcPr>
          <w:p>
            <w:pPr>
              <w:widowControl/>
              <w:jc w:val="center"/>
              <w:rPr>
                <w:rFonts w:hint="eastAsia" w:ascii="宋体" w:hAnsi="宋体" w:cs="宋体"/>
                <w:color w:val="auto"/>
                <w:highlight w:val="none"/>
              </w:rPr>
            </w:pPr>
            <w:r>
              <w:rPr>
                <w:rFonts w:hint="eastAsia" w:ascii="宋体" w:hAnsi="宋体" w:cs="宋体"/>
                <w:color w:val="auto"/>
                <w:highlight w:val="none"/>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25" w:type="pct"/>
            <w:vMerge w:val="continue"/>
            <w:vAlign w:val="center"/>
          </w:tcPr>
          <w:p>
            <w:pPr>
              <w:widowControl/>
              <w:jc w:val="center"/>
              <w:rPr>
                <w:rFonts w:hint="eastAsia" w:ascii="宋体" w:hAnsi="宋体" w:cs="宋体"/>
                <w:color w:val="auto"/>
                <w:highlight w:val="none"/>
              </w:rPr>
            </w:pPr>
          </w:p>
        </w:tc>
        <w:tc>
          <w:tcPr>
            <w:tcW w:w="489" w:type="pct"/>
            <w:vAlign w:val="center"/>
          </w:tcPr>
          <w:p>
            <w:pPr>
              <w:widowControl/>
              <w:jc w:val="center"/>
              <w:rPr>
                <w:rFonts w:hint="eastAsia" w:ascii="宋体" w:hAnsi="宋体" w:cs="宋体"/>
                <w:color w:val="auto"/>
                <w:highlight w:val="none"/>
              </w:rPr>
            </w:pPr>
            <w:r>
              <w:rPr>
                <w:rFonts w:hint="eastAsia" w:ascii="宋体" w:hAnsi="宋体" w:cs="宋体"/>
                <w:color w:val="auto"/>
                <w:highlight w:val="none"/>
              </w:rPr>
              <w:t>租赁费封顶价</w:t>
            </w:r>
          </w:p>
        </w:tc>
        <w:tc>
          <w:tcPr>
            <w:tcW w:w="877" w:type="pct"/>
            <w:vAlign w:val="center"/>
          </w:tcPr>
          <w:p>
            <w:pPr>
              <w:widowControl/>
              <w:jc w:val="center"/>
              <w:rPr>
                <w:rFonts w:hint="eastAsia" w:ascii="宋体" w:hAnsi="宋体" w:cs="宋体"/>
                <w:color w:val="auto"/>
                <w:highlight w:val="none"/>
              </w:rPr>
            </w:pPr>
            <w:r>
              <w:rPr>
                <w:rFonts w:hint="eastAsia" w:ascii="宋体" w:hAnsi="宋体" w:cs="宋体"/>
                <w:color w:val="auto"/>
                <w:highlight w:val="none"/>
              </w:rPr>
              <w:t>25万元</w:t>
            </w:r>
          </w:p>
        </w:tc>
        <w:tc>
          <w:tcPr>
            <w:tcW w:w="2680" w:type="pct"/>
            <w:vAlign w:val="center"/>
          </w:tcPr>
          <w:p>
            <w:pPr>
              <w:widowControl/>
              <w:jc w:val="center"/>
              <w:rPr>
                <w:rFonts w:hint="eastAsia" w:ascii="宋体" w:hAnsi="宋体" w:cs="宋体"/>
                <w:color w:val="auto"/>
                <w:highlight w:val="none"/>
              </w:rPr>
            </w:pPr>
            <w:r>
              <w:rPr>
                <w:rFonts w:hint="eastAsia" w:ascii="宋体" w:hAnsi="宋体" w:cs="宋体"/>
                <w:color w:val="auto"/>
                <w:highlight w:val="none"/>
              </w:rPr>
              <w:t>报价等于项目最高限价的，得分为7分；合同报价每低于项目最高限价的1%，加0.2分，最大加分为3分。报价低于最高限价的85%的，需要做出低价说明。</w:t>
            </w:r>
          </w:p>
        </w:tc>
        <w:tc>
          <w:tcPr>
            <w:tcW w:w="329" w:type="pct"/>
            <w:vAlign w:val="center"/>
          </w:tcPr>
          <w:p>
            <w:pPr>
              <w:widowControl/>
              <w:jc w:val="center"/>
              <w:rPr>
                <w:rFonts w:hint="eastAsia" w:ascii="宋体" w:hAnsi="宋体" w:cs="宋体"/>
                <w:color w:val="auto"/>
                <w:highlight w:val="none"/>
              </w:rPr>
            </w:pPr>
            <w:r>
              <w:rPr>
                <w:rFonts w:hint="eastAsia" w:ascii="宋体" w:hAnsi="宋体" w:cs="宋体"/>
                <w:color w:val="auto"/>
                <w:highlight w:val="none"/>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jc w:val="center"/>
        </w:trPr>
        <w:tc>
          <w:tcPr>
            <w:tcW w:w="625" w:type="pct"/>
            <w:vAlign w:val="center"/>
          </w:tcPr>
          <w:p>
            <w:pPr>
              <w:widowControl/>
              <w:jc w:val="center"/>
              <w:rPr>
                <w:rFonts w:hint="eastAsia" w:ascii="宋体" w:hAnsi="宋体" w:cs="宋体"/>
                <w:color w:val="auto"/>
                <w:highlight w:val="none"/>
              </w:rPr>
            </w:pPr>
            <w:r>
              <w:rPr>
                <w:rFonts w:hint="eastAsia" w:ascii="宋体" w:hAnsi="宋体" w:cs="宋体"/>
                <w:color w:val="auto"/>
                <w:highlight w:val="none"/>
              </w:rPr>
              <w:t>合计</w:t>
            </w:r>
          </w:p>
        </w:tc>
        <w:tc>
          <w:tcPr>
            <w:tcW w:w="489" w:type="pct"/>
            <w:vAlign w:val="center"/>
          </w:tcPr>
          <w:p>
            <w:pPr>
              <w:widowControl/>
              <w:jc w:val="center"/>
              <w:rPr>
                <w:rFonts w:hint="eastAsia" w:ascii="宋体" w:hAnsi="宋体" w:cs="宋体"/>
                <w:color w:val="auto"/>
                <w:highlight w:val="none"/>
              </w:rPr>
            </w:pPr>
          </w:p>
        </w:tc>
        <w:tc>
          <w:tcPr>
            <w:tcW w:w="877" w:type="pct"/>
            <w:vAlign w:val="center"/>
          </w:tcPr>
          <w:p>
            <w:pPr>
              <w:widowControl/>
              <w:spacing w:line="240" w:lineRule="auto"/>
              <w:jc w:val="center"/>
              <w:rPr>
                <w:rFonts w:hint="eastAsia" w:ascii="宋体" w:hAnsi="宋体"/>
                <w:color w:val="auto"/>
                <w:highlight w:val="none"/>
              </w:rPr>
            </w:pPr>
          </w:p>
        </w:tc>
        <w:tc>
          <w:tcPr>
            <w:tcW w:w="2680" w:type="pct"/>
            <w:vAlign w:val="center"/>
          </w:tcPr>
          <w:p>
            <w:pPr>
              <w:widowControl/>
              <w:spacing w:line="240" w:lineRule="auto"/>
              <w:jc w:val="center"/>
              <w:rPr>
                <w:rFonts w:hint="eastAsia" w:ascii="宋体" w:hAnsi="宋体"/>
                <w:color w:val="auto"/>
                <w:szCs w:val="21"/>
                <w:highlight w:val="none"/>
              </w:rPr>
            </w:pPr>
          </w:p>
        </w:tc>
        <w:tc>
          <w:tcPr>
            <w:tcW w:w="329" w:type="pct"/>
            <w:vAlign w:val="center"/>
          </w:tcPr>
          <w:p>
            <w:pPr>
              <w:widowControl/>
              <w:spacing w:line="240" w:lineRule="auto"/>
              <w:jc w:val="center"/>
              <w:rPr>
                <w:rFonts w:hint="eastAsia" w:ascii="宋体" w:hAnsi="宋体"/>
                <w:color w:val="auto"/>
                <w:highlight w:val="none"/>
              </w:rPr>
            </w:pPr>
            <w:r>
              <w:rPr>
                <w:rFonts w:hint="eastAsia" w:ascii="宋体" w:hAnsi="宋体"/>
                <w:color w:val="auto"/>
                <w:highlight w:val="none"/>
              </w:rPr>
              <w:t>100</w:t>
            </w:r>
          </w:p>
        </w:tc>
      </w:tr>
    </w:tbl>
    <w:p>
      <w:pPr>
        <w:spacing w:line="460" w:lineRule="exact"/>
        <w:ind w:firstLine="480"/>
        <w:rPr>
          <w:rFonts w:hint="eastAsia" w:ascii="宋体" w:hAnsi="宋体"/>
          <w:color w:val="auto"/>
          <w:sz w:val="24"/>
          <w:highlight w:val="none"/>
        </w:rPr>
      </w:pPr>
    </w:p>
    <w:p>
      <w:pPr>
        <w:spacing w:line="460" w:lineRule="exact"/>
        <w:ind w:firstLine="480"/>
        <w:rPr>
          <w:rFonts w:hint="eastAsia" w:ascii="宋体" w:hAnsi="宋体"/>
          <w:color w:val="auto"/>
          <w:sz w:val="24"/>
          <w:highlight w:val="none"/>
        </w:rPr>
      </w:pPr>
    </w:p>
    <w:p>
      <w:pPr>
        <w:spacing w:line="460" w:lineRule="exact"/>
        <w:ind w:firstLine="480"/>
        <w:rPr>
          <w:rFonts w:hint="eastAsia" w:ascii="宋体" w:hAnsi="宋体"/>
          <w:color w:val="auto"/>
          <w:sz w:val="24"/>
          <w:highlight w:val="none"/>
        </w:rPr>
      </w:pPr>
      <w:r>
        <w:rPr>
          <w:rFonts w:ascii="宋体" w:hAnsi="宋体"/>
          <w:color w:val="auto"/>
          <w:sz w:val="24"/>
          <w:highlight w:val="none"/>
        </w:rPr>
        <w:t xml:space="preserve">6.5.3 </w:t>
      </w:r>
      <w:r>
        <w:rPr>
          <w:rFonts w:hint="eastAsia" w:ascii="宋体" w:hAnsi="宋体"/>
          <w:color w:val="auto"/>
          <w:sz w:val="24"/>
          <w:highlight w:val="none"/>
        </w:rPr>
        <w:t>合作意向人的推荐</w:t>
      </w:r>
    </w:p>
    <w:p>
      <w:pPr>
        <w:spacing w:line="460" w:lineRule="exact"/>
        <w:ind w:firstLine="480"/>
        <w:rPr>
          <w:rFonts w:hint="eastAsia" w:ascii="宋体" w:hAnsi="宋体"/>
          <w:color w:val="auto"/>
          <w:sz w:val="24"/>
          <w:highlight w:val="none"/>
        </w:rPr>
      </w:pPr>
      <w:r>
        <w:rPr>
          <w:rFonts w:hint="eastAsia" w:ascii="宋体" w:hAnsi="宋体"/>
          <w:color w:val="auto"/>
          <w:sz w:val="24"/>
          <w:highlight w:val="none"/>
        </w:rPr>
        <w:t>综合得分</w:t>
      </w:r>
      <w:r>
        <w:rPr>
          <w:rFonts w:ascii="宋体" w:hAnsi="宋体"/>
          <w:color w:val="auto"/>
          <w:sz w:val="24"/>
          <w:highlight w:val="none"/>
        </w:rPr>
        <w:t>=技术得分*60%+商务得分*40%，四舍五入保留两位小数。</w:t>
      </w:r>
    </w:p>
    <w:p>
      <w:pPr>
        <w:spacing w:line="460" w:lineRule="exact"/>
        <w:ind w:firstLine="480"/>
        <w:rPr>
          <w:rFonts w:hint="eastAsia" w:ascii="宋体" w:hAnsi="宋体"/>
          <w:color w:val="auto"/>
          <w:sz w:val="24"/>
          <w:highlight w:val="none"/>
        </w:rPr>
      </w:pPr>
      <w:r>
        <w:rPr>
          <w:rFonts w:hint="eastAsia" w:ascii="宋体" w:hAnsi="宋体"/>
          <w:color w:val="auto"/>
          <w:sz w:val="24"/>
          <w:highlight w:val="none"/>
        </w:rPr>
        <w:t>竞争性谈判工作小组综合计算技术、商务得分，按照综合得分进行顺序排名，</w:t>
      </w:r>
      <w:r>
        <w:rPr>
          <w:rFonts w:hint="eastAsia" w:ascii="宋体" w:hAnsi="宋体"/>
          <w:color w:val="auto"/>
          <w:sz w:val="24"/>
          <w:highlight w:val="none"/>
        </w:rPr>
        <w:t>排名前三的合作候选人确定为合作意向人</w:t>
      </w:r>
      <w:r>
        <w:rPr>
          <w:rFonts w:hint="eastAsia" w:ascii="宋体" w:hAnsi="宋体"/>
          <w:color w:val="auto"/>
          <w:sz w:val="24"/>
          <w:highlight w:val="none"/>
        </w:rPr>
        <w:t>。</w:t>
      </w:r>
    </w:p>
    <w:p>
      <w:pPr>
        <w:spacing w:line="460" w:lineRule="exact"/>
        <w:ind w:firstLine="480"/>
        <w:rPr>
          <w:rFonts w:hint="eastAsia" w:ascii="宋体" w:hAnsi="宋体"/>
          <w:color w:val="auto"/>
          <w:sz w:val="24"/>
          <w:highlight w:val="none"/>
        </w:rPr>
      </w:pPr>
      <w:r>
        <w:rPr>
          <w:rFonts w:ascii="宋体" w:hAnsi="宋体"/>
          <w:color w:val="auto"/>
          <w:sz w:val="24"/>
          <w:highlight w:val="none"/>
        </w:rPr>
        <w:t xml:space="preserve">6.5.4 </w:t>
      </w:r>
      <w:r>
        <w:rPr>
          <w:rFonts w:hint="eastAsia" w:ascii="宋体" w:hAnsi="宋体"/>
          <w:color w:val="auto"/>
          <w:sz w:val="24"/>
          <w:highlight w:val="none"/>
        </w:rPr>
        <w:t>合作人的推荐</w:t>
      </w:r>
    </w:p>
    <w:p>
      <w:pPr>
        <w:spacing w:line="460" w:lineRule="exact"/>
        <w:ind w:firstLine="480"/>
        <w:rPr>
          <w:rFonts w:hint="eastAsia" w:ascii="宋体" w:hAnsi="宋体"/>
          <w:color w:val="auto"/>
          <w:sz w:val="24"/>
          <w:highlight w:val="none"/>
        </w:rPr>
      </w:pPr>
      <w:r>
        <w:rPr>
          <w:rFonts w:hint="eastAsia" w:ascii="宋体" w:hAnsi="宋体"/>
          <w:color w:val="auto"/>
          <w:sz w:val="24"/>
          <w:highlight w:val="none"/>
        </w:rPr>
        <w:t>评委会向所有合作意向人公布</w:t>
      </w:r>
      <w:r>
        <w:rPr>
          <w:rFonts w:hint="eastAsia" w:ascii="宋体" w:hAnsi="宋体"/>
          <w:color w:val="auto"/>
          <w:sz w:val="24"/>
          <w:highlight w:val="none"/>
        </w:rPr>
        <w:t>最低合作报价</w:t>
      </w:r>
      <w:r>
        <w:rPr>
          <w:rFonts w:hint="eastAsia" w:ascii="宋体" w:hAnsi="宋体"/>
          <w:color w:val="auto"/>
          <w:sz w:val="24"/>
          <w:highlight w:val="none"/>
        </w:rPr>
        <w:t>，合作意向人根据自身决策同意接受最低报价的，推荐为合作人。不接受最低报价的视为自动弃权，可以由第四名及以后排名的合作候选人递补为合作意向人，并向其公布最低报价，接受报价的推荐为合作人。推荐合作人总数量可以低于</w:t>
      </w:r>
      <w:r>
        <w:rPr>
          <w:rFonts w:ascii="宋体" w:hAnsi="宋体"/>
          <w:color w:val="auto"/>
          <w:sz w:val="24"/>
          <w:highlight w:val="none"/>
        </w:rPr>
        <w:t>3名。</w:t>
      </w:r>
    </w:p>
    <w:p>
      <w:pPr>
        <w:spacing w:line="460" w:lineRule="exact"/>
        <w:ind w:firstLine="480"/>
        <w:rPr>
          <w:rFonts w:hint="eastAsia" w:ascii="宋体" w:hAnsi="宋体"/>
          <w:color w:val="auto"/>
          <w:sz w:val="24"/>
          <w:highlight w:val="none"/>
        </w:rPr>
      </w:pPr>
      <w:r>
        <w:rPr>
          <w:rFonts w:ascii="宋体" w:hAnsi="宋体"/>
          <w:color w:val="auto"/>
          <w:sz w:val="24"/>
          <w:highlight w:val="none"/>
        </w:rPr>
        <w:t>6.5.5 在评选、确定合作人过程中有重大争议的，由</w:t>
      </w:r>
      <w:r>
        <w:rPr>
          <w:rFonts w:hint="eastAsia" w:ascii="宋体" w:hAnsi="宋体"/>
          <w:color w:val="auto"/>
          <w:sz w:val="24"/>
          <w:highlight w:val="none"/>
        </w:rPr>
        <w:t>评委会裁定。</w:t>
      </w:r>
    </w:p>
    <w:p>
      <w:pPr>
        <w:spacing w:line="460" w:lineRule="exact"/>
        <w:ind w:firstLine="480"/>
        <w:rPr>
          <w:rFonts w:hint="eastAsia" w:ascii="宋体" w:hAnsi="宋体"/>
          <w:color w:val="auto"/>
          <w:sz w:val="24"/>
          <w:highlight w:val="none"/>
        </w:rPr>
      </w:pPr>
      <w:r>
        <w:rPr>
          <w:rFonts w:ascii="宋体" w:hAnsi="宋体"/>
          <w:color w:val="auto"/>
          <w:sz w:val="24"/>
          <w:highlight w:val="none"/>
        </w:rPr>
        <w:t>6.5.6 评选结果公示无异议后，发出</w:t>
      </w:r>
      <w:r>
        <w:rPr>
          <w:rFonts w:hint="eastAsia" w:ascii="宋体" w:hAnsi="宋体"/>
          <w:color w:val="auto"/>
          <w:sz w:val="24"/>
          <w:highlight w:val="none"/>
        </w:rPr>
        <w:t>谈判结果通知。</w:t>
      </w:r>
    </w:p>
    <w:p>
      <w:pPr>
        <w:snapToGrid w:val="0"/>
        <w:spacing w:line="360" w:lineRule="auto"/>
        <w:rPr>
          <w:rFonts w:hint="eastAsia" w:ascii="宋体" w:hAnsi="宋体"/>
          <w:b/>
          <w:color w:val="auto"/>
          <w:sz w:val="24"/>
          <w:highlight w:val="none"/>
        </w:rPr>
      </w:pPr>
      <w:r>
        <w:rPr>
          <w:rFonts w:hint="eastAsia" w:ascii="宋体" w:hAnsi="宋体"/>
          <w:b/>
          <w:color w:val="auto"/>
          <w:sz w:val="24"/>
          <w:highlight w:val="none"/>
        </w:rPr>
        <w:t>6.6合作人要求</w:t>
      </w:r>
    </w:p>
    <w:p>
      <w:pPr>
        <w:snapToGrid w:val="0"/>
        <w:spacing w:line="360" w:lineRule="auto"/>
        <w:ind w:firstLine="480" w:firstLineChars="200"/>
        <w:rPr>
          <w:rFonts w:hint="eastAsia" w:ascii="宋体" w:hAnsi="宋体"/>
          <w:color w:val="auto"/>
          <w:sz w:val="24"/>
          <w:highlight w:val="none"/>
        </w:rPr>
      </w:pPr>
      <w:r>
        <w:rPr>
          <w:rFonts w:ascii="宋体" w:hAnsi="宋体"/>
          <w:color w:val="auto"/>
          <w:sz w:val="24"/>
          <w:highlight w:val="none"/>
        </w:rPr>
        <w:t>6.6.1</w:t>
      </w:r>
      <w:r>
        <w:rPr>
          <w:rFonts w:hint="eastAsia" w:ascii="宋体" w:hAnsi="宋体"/>
          <w:color w:val="auto"/>
          <w:sz w:val="24"/>
          <w:highlight w:val="none"/>
        </w:rPr>
        <w:t>邀请方与合作人签订合作框架协议，根据最低报价达成合作框架合同中关于报价的具体内容。合作顺序按照综合得分顺序，排名靠前的合作人享有优先合作选择权。</w:t>
      </w:r>
    </w:p>
    <w:p>
      <w:pPr>
        <w:snapToGrid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6.6.2 合作人在执行合同期间存在严重违规、出现严重现场事故或拒不执行甲方合理诉求时，该合作人将被降低一个优先合作选择顺位。排名靠前的合作人因自身原因或不可抗力影响无法正常履行合作框架协议时，由下一个顺位合作人获得其优先合作选择权。</w:t>
      </w:r>
    </w:p>
    <w:p>
      <w:pPr>
        <w:snapToGrid w:val="0"/>
        <w:spacing w:line="360" w:lineRule="auto"/>
        <w:ind w:firstLine="480" w:firstLineChars="200"/>
        <w:rPr>
          <w:rFonts w:hint="eastAsia" w:ascii="宋体" w:hAnsi="宋体"/>
          <w:color w:val="auto"/>
          <w:sz w:val="24"/>
          <w:highlight w:val="none"/>
        </w:rPr>
      </w:pPr>
      <w:r>
        <w:rPr>
          <w:rFonts w:ascii="宋体" w:hAnsi="宋体"/>
          <w:color w:val="auto"/>
          <w:sz w:val="24"/>
          <w:highlight w:val="none"/>
        </w:rPr>
        <w:t xml:space="preserve">6.6.3 </w:t>
      </w:r>
      <w:r>
        <w:rPr>
          <w:rFonts w:hint="eastAsia" w:ascii="宋体" w:hAnsi="宋体"/>
          <w:color w:val="auto"/>
          <w:sz w:val="24"/>
          <w:highlight w:val="none"/>
        </w:rPr>
        <w:t>依次确定其他合作候选人与预期差距较大，或者对竞争性谈判单位明显不利的，可以重新竞争性谈判。</w:t>
      </w:r>
    </w:p>
    <w:p>
      <w:pPr>
        <w:snapToGrid w:val="0"/>
        <w:spacing w:line="360" w:lineRule="auto"/>
        <w:rPr>
          <w:rFonts w:hint="eastAsia" w:ascii="宋体" w:hAnsi="宋体"/>
          <w:b/>
          <w:color w:val="auto"/>
          <w:sz w:val="24"/>
          <w:highlight w:val="none"/>
        </w:rPr>
      </w:pPr>
      <w:r>
        <w:rPr>
          <w:rFonts w:hint="eastAsia" w:ascii="宋体" w:hAnsi="宋体"/>
          <w:b/>
          <w:color w:val="auto"/>
          <w:sz w:val="24"/>
          <w:highlight w:val="none"/>
        </w:rPr>
        <w:t>6.7 附则</w:t>
      </w:r>
    </w:p>
    <w:p>
      <w:pPr>
        <w:snapToGrid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6.7.1 竞争性谈判结束后，资料整理归档。</w:t>
      </w:r>
      <w:bookmarkStart w:id="66" w:name="_GoBack"/>
      <w:bookmarkEnd w:id="66"/>
    </w:p>
    <w:p>
      <w:pPr>
        <w:snapToGrid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6.7.2 解释权在组委会。</w:t>
      </w:r>
    </w:p>
    <w:p>
      <w:pPr>
        <w:pStyle w:val="2"/>
        <w:snapToGrid w:val="0"/>
        <w:spacing w:before="360" w:after="360" w:line="240" w:lineRule="auto"/>
        <w:rPr>
          <w:rFonts w:hint="eastAsia" w:asciiTheme="minorEastAsia" w:hAnsiTheme="minorEastAsia" w:eastAsiaTheme="minorEastAsia"/>
          <w:color w:val="auto"/>
          <w:sz w:val="28"/>
          <w:highlight w:val="none"/>
        </w:rPr>
      </w:pPr>
      <w:bookmarkStart w:id="48" w:name="_Toc7973"/>
      <w:r>
        <w:rPr>
          <w:rFonts w:asciiTheme="minorEastAsia" w:hAnsiTheme="minorEastAsia" w:eastAsiaTheme="minorEastAsia"/>
          <w:color w:val="auto"/>
          <w:sz w:val="28"/>
          <w:highlight w:val="none"/>
        </w:rPr>
        <w:t>7</w:t>
      </w:r>
      <w:r>
        <w:rPr>
          <w:rFonts w:hint="eastAsia" w:asciiTheme="minorEastAsia" w:hAnsiTheme="minorEastAsia" w:eastAsiaTheme="minorEastAsia"/>
          <w:color w:val="auto"/>
          <w:sz w:val="28"/>
          <w:highlight w:val="none"/>
        </w:rPr>
        <w:t xml:space="preserve"> 资料与保密</w:t>
      </w:r>
      <w:bookmarkEnd w:id="43"/>
      <w:bookmarkEnd w:id="44"/>
      <w:bookmarkEnd w:id="45"/>
      <w:bookmarkEnd w:id="46"/>
      <w:bookmarkEnd w:id="47"/>
      <w:bookmarkEnd w:id="48"/>
    </w:p>
    <w:p>
      <w:pPr>
        <w:snapToGrid w:val="0"/>
        <w:spacing w:line="360" w:lineRule="auto"/>
        <w:ind w:firstLine="480" w:firstLineChars="200"/>
        <w:rPr>
          <w:rFonts w:hint="eastAsia" w:hAnsi="宋体"/>
          <w:color w:val="auto"/>
          <w:sz w:val="24"/>
          <w:highlight w:val="none"/>
        </w:rPr>
      </w:pPr>
      <w:r>
        <w:rPr>
          <w:rFonts w:hint="eastAsia" w:hAnsi="宋体"/>
          <w:color w:val="auto"/>
          <w:sz w:val="24"/>
          <w:highlight w:val="none"/>
        </w:rPr>
        <w:t>本竞争性谈判文件涉及的资料及项目实施期间获得的资料归邀请方所有，意向方在未征得邀请方同意前，不得以任何理由、任何方式向第三方泄露或在刊物上发表资料内容。</w:t>
      </w:r>
    </w:p>
    <w:p>
      <w:pPr>
        <w:pStyle w:val="2"/>
        <w:snapToGrid w:val="0"/>
        <w:spacing w:before="360" w:after="360" w:line="240" w:lineRule="auto"/>
        <w:rPr>
          <w:rFonts w:hint="eastAsia" w:asciiTheme="minorEastAsia" w:hAnsiTheme="minorEastAsia" w:eastAsiaTheme="minorEastAsia"/>
          <w:color w:val="auto"/>
          <w:sz w:val="28"/>
          <w:highlight w:val="none"/>
        </w:rPr>
      </w:pPr>
      <w:bookmarkStart w:id="49" w:name="_Toc229886037"/>
      <w:bookmarkStart w:id="50" w:name="_Toc209977962"/>
      <w:bookmarkStart w:id="51" w:name="_Toc26275"/>
      <w:bookmarkStart w:id="52" w:name="_Toc209977532"/>
      <w:bookmarkStart w:id="53" w:name="_Toc209977834"/>
      <w:bookmarkStart w:id="54" w:name="_Toc209977697"/>
      <w:r>
        <w:rPr>
          <w:rFonts w:asciiTheme="minorEastAsia" w:hAnsiTheme="minorEastAsia" w:eastAsiaTheme="minorEastAsia"/>
          <w:color w:val="auto"/>
          <w:sz w:val="28"/>
          <w:highlight w:val="none"/>
        </w:rPr>
        <w:t>8</w:t>
      </w:r>
      <w:r>
        <w:rPr>
          <w:rFonts w:hint="eastAsia" w:asciiTheme="minorEastAsia" w:hAnsiTheme="minorEastAsia" w:eastAsiaTheme="minorEastAsia"/>
          <w:color w:val="auto"/>
          <w:sz w:val="28"/>
          <w:highlight w:val="none"/>
        </w:rPr>
        <w:t xml:space="preserve"> 意向书格式及要求</w:t>
      </w:r>
      <w:bookmarkEnd w:id="49"/>
      <w:bookmarkEnd w:id="50"/>
      <w:bookmarkEnd w:id="51"/>
      <w:bookmarkEnd w:id="52"/>
      <w:bookmarkEnd w:id="53"/>
      <w:bookmarkEnd w:id="54"/>
    </w:p>
    <w:p>
      <w:pPr>
        <w:snapToGrid w:val="0"/>
        <w:spacing w:line="360" w:lineRule="auto"/>
        <w:ind w:firstLine="480" w:firstLineChars="200"/>
        <w:rPr>
          <w:rFonts w:hint="eastAsia" w:hAnsi="宋体"/>
          <w:color w:val="auto"/>
          <w:sz w:val="24"/>
          <w:highlight w:val="none"/>
        </w:rPr>
      </w:pPr>
      <w:bookmarkStart w:id="55" w:name="_Toc209977533"/>
      <w:bookmarkStart w:id="56" w:name="_Toc209977835"/>
      <w:bookmarkStart w:id="57" w:name="_Toc209977963"/>
      <w:bookmarkStart w:id="58" w:name="_Toc209977698"/>
      <w:bookmarkStart w:id="59" w:name="_Toc229886038"/>
      <w:r>
        <w:rPr>
          <w:rFonts w:hint="eastAsia" w:hAnsi="宋体"/>
          <w:color w:val="auto"/>
          <w:sz w:val="24"/>
          <w:highlight w:val="none"/>
        </w:rPr>
        <w:t>意向单位应严格按照附件编制意向书。意向书由</w:t>
      </w:r>
      <w:r>
        <w:rPr>
          <w:rFonts w:hint="eastAsia" w:hAnsi="宋体"/>
          <w:color w:val="auto"/>
          <w:sz w:val="24"/>
          <w:highlight w:val="none"/>
        </w:rPr>
        <w:t>技术部分</w:t>
      </w:r>
      <w:r>
        <w:rPr>
          <w:rFonts w:hAnsi="宋体"/>
          <w:color w:val="auto"/>
          <w:sz w:val="24"/>
          <w:highlight w:val="none"/>
        </w:rPr>
        <w:t>/商务部分/资格审查文件三部分组成</w:t>
      </w:r>
      <w:r>
        <w:rPr>
          <w:rFonts w:hAnsi="宋体"/>
          <w:color w:val="auto"/>
          <w:sz w:val="24"/>
          <w:highlight w:val="none"/>
        </w:rPr>
        <w:t>。技术部分应有法人（或负责人）证书或法人（或负责人）委托书、资质、技术难点及对策、工作方案以及承诺等（详见附件）。</w:t>
      </w:r>
    </w:p>
    <w:p>
      <w:pPr>
        <w:snapToGrid w:val="0"/>
        <w:spacing w:line="360" w:lineRule="auto"/>
        <w:ind w:firstLine="480" w:firstLineChars="200"/>
        <w:rPr>
          <w:rFonts w:hint="eastAsia" w:hAnsi="宋体"/>
          <w:color w:val="auto"/>
          <w:sz w:val="24"/>
          <w:highlight w:val="none"/>
        </w:rPr>
      </w:pPr>
      <w:r>
        <w:rPr>
          <w:rFonts w:hint="eastAsia" w:hAnsi="宋体"/>
          <w:color w:val="auto"/>
          <w:sz w:val="24"/>
          <w:highlight w:val="none"/>
        </w:rPr>
        <w:t>技术部分</w:t>
      </w:r>
      <w:r>
        <w:rPr>
          <w:rFonts w:hAnsi="宋体"/>
          <w:color w:val="auto"/>
          <w:sz w:val="24"/>
          <w:highlight w:val="none"/>
        </w:rPr>
        <w:t>1</w:t>
      </w:r>
      <w:r>
        <w:rPr>
          <w:rFonts w:hint="eastAsia" w:hAnsi="宋体"/>
          <w:color w:val="auto"/>
          <w:sz w:val="24"/>
          <w:highlight w:val="none"/>
        </w:rPr>
        <w:t>0</w:t>
      </w:r>
      <w:r>
        <w:rPr>
          <w:rFonts w:hAnsi="宋体"/>
          <w:color w:val="auto"/>
          <w:sz w:val="24"/>
          <w:highlight w:val="none"/>
        </w:rPr>
        <w:t>份（正本2份，副本</w:t>
      </w:r>
      <w:r>
        <w:rPr>
          <w:rFonts w:hint="eastAsia" w:hAnsi="宋体"/>
          <w:color w:val="auto"/>
          <w:sz w:val="24"/>
          <w:highlight w:val="none"/>
        </w:rPr>
        <w:t>8</w:t>
      </w:r>
      <w:r>
        <w:rPr>
          <w:rFonts w:hAnsi="宋体"/>
          <w:color w:val="auto"/>
          <w:sz w:val="24"/>
          <w:highlight w:val="none"/>
        </w:rPr>
        <w:t>份），商务部分正本2份</w:t>
      </w:r>
      <w:r>
        <w:rPr>
          <w:rFonts w:hint="eastAsia" w:hAnsi="宋体"/>
          <w:color w:val="auto"/>
          <w:sz w:val="24"/>
          <w:highlight w:val="none"/>
        </w:rPr>
        <w:t>（分别标注</w:t>
      </w:r>
      <w:r>
        <w:rPr>
          <w:rFonts w:hAnsi="宋体"/>
          <w:color w:val="auto"/>
          <w:sz w:val="24"/>
          <w:highlight w:val="none"/>
        </w:rPr>
        <w:t>清楚</w:t>
      </w:r>
      <w:r>
        <w:rPr>
          <w:rFonts w:hint="eastAsia" w:hAnsi="宋体"/>
          <w:color w:val="auto"/>
          <w:sz w:val="24"/>
          <w:highlight w:val="none"/>
        </w:rPr>
        <w:t>不含税</w:t>
      </w:r>
      <w:r>
        <w:rPr>
          <w:rFonts w:hAnsi="宋体"/>
          <w:color w:val="auto"/>
          <w:sz w:val="24"/>
          <w:highlight w:val="none"/>
        </w:rPr>
        <w:t>单价</w:t>
      </w:r>
      <w:r>
        <w:rPr>
          <w:rFonts w:hint="eastAsia" w:hAnsi="宋体"/>
          <w:color w:val="auto"/>
          <w:sz w:val="24"/>
          <w:highlight w:val="none"/>
        </w:rPr>
        <w:t>及</w:t>
      </w:r>
      <w:r>
        <w:rPr>
          <w:rFonts w:hAnsi="宋体"/>
          <w:color w:val="auto"/>
          <w:sz w:val="24"/>
          <w:highlight w:val="none"/>
        </w:rPr>
        <w:t>总价款</w:t>
      </w:r>
      <w:r>
        <w:rPr>
          <w:rFonts w:hint="eastAsia" w:hAnsi="宋体"/>
          <w:color w:val="auto"/>
          <w:sz w:val="24"/>
          <w:highlight w:val="none"/>
        </w:rPr>
        <w:t>、</w:t>
      </w:r>
      <w:r>
        <w:rPr>
          <w:rFonts w:hAnsi="宋体"/>
          <w:color w:val="auto"/>
          <w:sz w:val="24"/>
          <w:highlight w:val="none"/>
        </w:rPr>
        <w:t>税率</w:t>
      </w:r>
      <w:r>
        <w:rPr>
          <w:rFonts w:hint="eastAsia" w:hAnsi="宋体"/>
          <w:color w:val="auto"/>
          <w:sz w:val="24"/>
          <w:highlight w:val="none"/>
        </w:rPr>
        <w:t>、含税总价款），资格审查文件正本</w:t>
      </w:r>
      <w:r>
        <w:rPr>
          <w:rFonts w:hAnsi="宋体"/>
          <w:color w:val="auto"/>
          <w:sz w:val="24"/>
          <w:highlight w:val="none"/>
        </w:rPr>
        <w:t>2份。</w:t>
      </w:r>
    </w:p>
    <w:p>
      <w:pPr>
        <w:snapToGrid w:val="0"/>
        <w:spacing w:line="360" w:lineRule="auto"/>
        <w:ind w:firstLine="480" w:firstLineChars="200"/>
        <w:rPr>
          <w:rFonts w:hint="eastAsia" w:hAnsi="宋体"/>
          <w:color w:val="auto"/>
          <w:sz w:val="24"/>
          <w:highlight w:val="none"/>
        </w:rPr>
      </w:pPr>
      <w:r>
        <w:rPr>
          <w:rFonts w:hint="eastAsia" w:hAnsi="宋体"/>
          <w:color w:val="auto"/>
          <w:sz w:val="24"/>
          <w:highlight w:val="none"/>
        </w:rPr>
        <w:t>邮寄地址：江苏省南京市江宁区上高路</w:t>
      </w:r>
      <w:r>
        <w:rPr>
          <w:rFonts w:hAnsi="宋体"/>
          <w:color w:val="auto"/>
          <w:sz w:val="24"/>
          <w:highlight w:val="none"/>
        </w:rPr>
        <w:t>219号中石化石油物探技术研究院有限公司技术推广部，</w:t>
      </w:r>
      <w:r>
        <w:rPr>
          <w:rFonts w:hint="eastAsia" w:hAnsi="宋体"/>
          <w:color w:val="auto"/>
          <w:sz w:val="24"/>
          <w:highlight w:val="none"/>
        </w:rPr>
        <w:t>联系人：陶纪霞，电话：</w:t>
      </w:r>
      <w:r>
        <w:rPr>
          <w:rFonts w:hAnsi="宋体"/>
          <w:color w:val="auto"/>
          <w:sz w:val="24"/>
          <w:highlight w:val="none"/>
        </w:rPr>
        <w:t>13770755186</w:t>
      </w:r>
      <w:r>
        <w:rPr>
          <w:rFonts w:hint="eastAsia" w:hAnsi="宋体"/>
          <w:color w:val="auto"/>
          <w:sz w:val="24"/>
          <w:highlight w:val="none"/>
        </w:rPr>
        <w:t>。</w:t>
      </w:r>
    </w:p>
    <w:p>
      <w:pPr>
        <w:pStyle w:val="2"/>
        <w:snapToGrid w:val="0"/>
        <w:spacing w:before="360" w:after="360" w:line="240" w:lineRule="auto"/>
        <w:rPr>
          <w:rFonts w:hint="eastAsia" w:asciiTheme="minorEastAsia" w:hAnsiTheme="minorEastAsia" w:eastAsiaTheme="minorEastAsia"/>
          <w:color w:val="auto"/>
          <w:sz w:val="28"/>
          <w:highlight w:val="none"/>
        </w:rPr>
      </w:pPr>
      <w:bookmarkStart w:id="60" w:name="_Toc24247"/>
      <w:r>
        <w:rPr>
          <w:rFonts w:asciiTheme="minorEastAsia" w:hAnsiTheme="minorEastAsia" w:eastAsiaTheme="minorEastAsia"/>
          <w:color w:val="auto"/>
          <w:sz w:val="28"/>
          <w:highlight w:val="none"/>
        </w:rPr>
        <w:t>9</w:t>
      </w:r>
      <w:r>
        <w:rPr>
          <w:rFonts w:hint="eastAsia" w:asciiTheme="minorEastAsia" w:hAnsiTheme="minorEastAsia" w:eastAsiaTheme="minorEastAsia"/>
          <w:color w:val="auto"/>
          <w:sz w:val="28"/>
          <w:highlight w:val="none"/>
        </w:rPr>
        <w:t xml:space="preserve"> 其他</w:t>
      </w:r>
      <w:bookmarkEnd w:id="55"/>
      <w:bookmarkEnd w:id="56"/>
      <w:bookmarkEnd w:id="57"/>
      <w:bookmarkEnd w:id="58"/>
      <w:bookmarkEnd w:id="59"/>
      <w:bookmarkEnd w:id="60"/>
    </w:p>
    <w:p>
      <w:pPr>
        <w:snapToGrid w:val="0"/>
        <w:spacing w:line="360" w:lineRule="auto"/>
        <w:ind w:firstLine="480" w:firstLineChars="200"/>
        <w:rPr>
          <w:rFonts w:hint="eastAsia" w:hAnsi="宋体"/>
          <w:color w:val="auto"/>
          <w:sz w:val="24"/>
          <w:highlight w:val="none"/>
        </w:rPr>
      </w:pPr>
      <w:r>
        <w:rPr>
          <w:rFonts w:hAnsi="宋体"/>
          <w:color w:val="auto"/>
          <w:sz w:val="24"/>
          <w:highlight w:val="none"/>
        </w:rPr>
        <w:t>9.</w:t>
      </w:r>
      <w:r>
        <w:rPr>
          <w:rFonts w:hint="eastAsia" w:hAnsi="宋体"/>
          <w:color w:val="auto"/>
          <w:sz w:val="24"/>
          <w:highlight w:val="none"/>
        </w:rPr>
        <w:t>1邀请方拥有选择意向方、确定合作人的权利，意向方拥有拒绝提交意向书的权利。</w:t>
      </w:r>
    </w:p>
    <w:p>
      <w:pPr>
        <w:snapToGrid w:val="0"/>
        <w:spacing w:line="360" w:lineRule="auto"/>
        <w:ind w:firstLine="480" w:firstLineChars="200"/>
        <w:rPr>
          <w:rFonts w:hint="eastAsia" w:hAnsi="宋体"/>
          <w:color w:val="auto"/>
          <w:sz w:val="24"/>
          <w:highlight w:val="none"/>
        </w:rPr>
      </w:pPr>
      <w:r>
        <w:rPr>
          <w:rFonts w:hAnsi="宋体"/>
          <w:color w:val="auto"/>
          <w:sz w:val="24"/>
          <w:highlight w:val="none"/>
        </w:rPr>
        <w:t>9.</w:t>
      </w:r>
      <w:r>
        <w:rPr>
          <w:rFonts w:hint="eastAsia" w:hAnsi="宋体"/>
          <w:color w:val="auto"/>
          <w:sz w:val="24"/>
          <w:highlight w:val="none"/>
        </w:rPr>
        <w:t>3意向方收到竞争性谈判文件后，要收集相关资料，认真研究工作方案，选择最佳方案和合理价格参加竞争性谈判。如果意向方确定为合作人，则意向书中所述内容即为双方签订合同的依据，故必须认真如实填写意向书，字迹要清楚，数据要准确，文字材料要简明扼要，意向书提交后不得以任何理由改变承诺或提出其他要求。</w:t>
      </w:r>
    </w:p>
    <w:p>
      <w:pPr>
        <w:snapToGrid w:val="0"/>
        <w:spacing w:line="360" w:lineRule="auto"/>
        <w:ind w:firstLine="480" w:firstLineChars="200"/>
        <w:rPr>
          <w:rFonts w:hint="eastAsia" w:hAnsi="宋体"/>
          <w:color w:val="auto"/>
          <w:sz w:val="24"/>
          <w:highlight w:val="none"/>
        </w:rPr>
      </w:pPr>
      <w:r>
        <w:rPr>
          <w:rFonts w:hAnsi="宋体"/>
          <w:color w:val="auto"/>
          <w:sz w:val="24"/>
          <w:highlight w:val="none"/>
        </w:rPr>
        <w:t xml:space="preserve">9.4 </w:t>
      </w:r>
      <w:r>
        <w:rPr>
          <w:rFonts w:hint="eastAsia" w:hAnsi="宋体"/>
          <w:color w:val="auto"/>
          <w:sz w:val="24"/>
          <w:highlight w:val="none"/>
        </w:rPr>
        <w:t>对本竞争性谈判文件如有不清楚之处，可与邀请方联系。联系人：陶纪霞，电话：</w:t>
      </w:r>
      <w:r>
        <w:rPr>
          <w:rFonts w:hAnsi="宋体"/>
          <w:color w:val="auto"/>
          <w:sz w:val="24"/>
          <w:highlight w:val="none"/>
        </w:rPr>
        <w:t>13770755186</w:t>
      </w:r>
    </w:p>
    <w:p>
      <w:pPr>
        <w:snapToGrid w:val="0"/>
        <w:spacing w:line="360" w:lineRule="auto"/>
        <w:ind w:firstLine="480" w:firstLineChars="200"/>
        <w:rPr>
          <w:rFonts w:hint="eastAsia" w:hAnsi="宋体"/>
          <w:color w:val="auto"/>
          <w:sz w:val="24"/>
          <w:highlight w:val="none"/>
        </w:rPr>
      </w:pPr>
    </w:p>
    <w:p>
      <w:pPr>
        <w:snapToGrid w:val="0"/>
        <w:spacing w:line="360" w:lineRule="auto"/>
        <w:ind w:firstLine="480" w:firstLineChars="200"/>
        <w:rPr>
          <w:rFonts w:hint="eastAsia" w:hAnsi="宋体"/>
          <w:color w:val="auto"/>
          <w:sz w:val="24"/>
          <w:highlight w:val="none"/>
        </w:rPr>
      </w:pPr>
    </w:p>
    <w:p>
      <w:pPr>
        <w:snapToGrid w:val="0"/>
        <w:spacing w:line="360" w:lineRule="auto"/>
        <w:ind w:firstLine="480" w:firstLineChars="200"/>
        <w:rPr>
          <w:rFonts w:hint="eastAsia" w:hAnsi="宋体"/>
          <w:color w:val="auto"/>
          <w:sz w:val="24"/>
          <w:highlight w:val="none"/>
        </w:rPr>
      </w:pPr>
    </w:p>
    <w:p>
      <w:pPr>
        <w:snapToGrid w:val="0"/>
        <w:spacing w:line="360" w:lineRule="auto"/>
        <w:ind w:firstLine="480" w:firstLineChars="200"/>
        <w:rPr>
          <w:rFonts w:hint="eastAsia" w:hAnsi="宋体"/>
          <w:color w:val="auto"/>
          <w:sz w:val="24"/>
          <w:highlight w:val="none"/>
        </w:rPr>
      </w:pPr>
    </w:p>
    <w:p>
      <w:pPr>
        <w:snapToGrid w:val="0"/>
        <w:spacing w:line="360" w:lineRule="auto"/>
        <w:ind w:firstLine="480" w:firstLineChars="200"/>
        <w:rPr>
          <w:rFonts w:hint="eastAsia" w:hAnsi="宋体"/>
          <w:color w:val="auto"/>
          <w:sz w:val="24"/>
          <w:highlight w:val="none"/>
        </w:rPr>
      </w:pPr>
    </w:p>
    <w:p>
      <w:pPr>
        <w:snapToGrid w:val="0"/>
        <w:spacing w:line="360" w:lineRule="auto"/>
        <w:ind w:firstLine="480" w:firstLineChars="200"/>
        <w:rPr>
          <w:rFonts w:hint="eastAsia" w:hAnsi="宋体"/>
          <w:color w:val="auto"/>
          <w:sz w:val="24"/>
          <w:highlight w:val="none"/>
        </w:rPr>
      </w:pPr>
    </w:p>
    <w:bookmarkEnd w:id="1"/>
    <w:p>
      <w:pPr>
        <w:rPr>
          <w:rFonts w:hint="eastAsia" w:asciiTheme="minorEastAsia" w:hAnsiTheme="minorEastAsia" w:eastAsiaTheme="minorEastAsia"/>
          <w:color w:val="auto"/>
          <w:sz w:val="28"/>
          <w:highlight w:val="none"/>
        </w:rPr>
      </w:pPr>
      <w:bookmarkStart w:id="61" w:name="_Toc13761"/>
      <w:bookmarkStart w:id="62" w:name="_Toc211250139"/>
      <w:bookmarkStart w:id="63" w:name="_Toc50361655"/>
      <w:bookmarkStart w:id="64" w:name="_Toc229886069"/>
      <w:r>
        <w:rPr>
          <w:rFonts w:hint="eastAsia" w:asciiTheme="minorEastAsia" w:hAnsiTheme="minorEastAsia" w:eastAsiaTheme="minorEastAsia"/>
          <w:color w:val="auto"/>
          <w:sz w:val="28"/>
          <w:highlight w:val="none"/>
        </w:rPr>
        <w:br w:type="page"/>
      </w:r>
    </w:p>
    <w:p>
      <w:pPr>
        <w:pStyle w:val="2"/>
        <w:snapToGrid w:val="0"/>
        <w:spacing w:before="360" w:after="360" w:line="240" w:lineRule="auto"/>
        <w:rPr>
          <w:rFonts w:ascii="黑体" w:eastAsia="黑体"/>
          <w:color w:val="auto"/>
          <w:w w:val="95"/>
          <w:sz w:val="32"/>
          <w:szCs w:val="32"/>
          <w:highlight w:val="none"/>
        </w:rPr>
      </w:pPr>
      <w:r>
        <w:rPr>
          <w:rFonts w:hint="eastAsia" w:asciiTheme="minorEastAsia" w:hAnsiTheme="minorEastAsia" w:eastAsiaTheme="minorEastAsia"/>
          <w:color w:val="auto"/>
          <w:sz w:val="28"/>
          <w:highlight w:val="none"/>
        </w:rPr>
        <w:t>附件：意向书格式及要求</w:t>
      </w:r>
      <w:bookmarkEnd w:id="61"/>
      <w:bookmarkEnd w:id="62"/>
      <w:bookmarkEnd w:id="63"/>
      <w:bookmarkEnd w:id="64"/>
    </w:p>
    <w:p>
      <w:pPr>
        <w:jc w:val="center"/>
        <w:rPr>
          <w:rFonts w:hint="eastAsia" w:ascii="仿宋" w:hAnsi="仿宋" w:eastAsia="仿宋"/>
          <w:b/>
          <w:snapToGrid w:val="0"/>
          <w:color w:val="auto"/>
          <w:spacing w:val="-4"/>
          <w:sz w:val="44"/>
          <w:szCs w:val="44"/>
          <w:highlight w:val="none"/>
        </w:rPr>
      </w:pPr>
      <w:r>
        <w:rPr>
          <w:rFonts w:hint="eastAsia" w:ascii="仿宋" w:hAnsi="仿宋" w:eastAsia="仿宋"/>
          <w:b/>
          <w:snapToGrid w:val="0"/>
          <w:color w:val="auto"/>
          <w:spacing w:val="-4"/>
          <w:sz w:val="44"/>
          <w:szCs w:val="44"/>
          <w:highlight w:val="none"/>
        </w:rPr>
        <w:t>中石化石油物探技术研究院有限公司2024微地震地面监测野外联合施工框架协议项目</w:t>
      </w:r>
    </w:p>
    <w:p>
      <w:pPr>
        <w:spacing w:line="720" w:lineRule="auto"/>
        <w:rPr>
          <w:rFonts w:hint="eastAsia" w:ascii="仿宋" w:hAnsi="仿宋" w:eastAsia="仿宋"/>
          <w:b/>
          <w:snapToGrid w:val="0"/>
          <w:color w:val="auto"/>
          <w:sz w:val="52"/>
          <w:szCs w:val="52"/>
          <w:highlight w:val="none"/>
        </w:rPr>
      </w:pPr>
    </w:p>
    <w:p>
      <w:pPr>
        <w:spacing w:after="312" w:afterLines="100" w:line="720" w:lineRule="auto"/>
        <w:jc w:val="center"/>
        <w:rPr>
          <w:rFonts w:hint="eastAsia" w:ascii="黑体" w:hAnsi="宋体" w:eastAsia="黑体"/>
          <w:b/>
          <w:color w:val="auto"/>
          <w:sz w:val="72"/>
          <w:szCs w:val="72"/>
          <w:highlight w:val="none"/>
        </w:rPr>
      </w:pPr>
      <w:r>
        <w:rPr>
          <w:rFonts w:hint="eastAsia" w:ascii="黑体" w:hAnsi="宋体" w:eastAsia="黑体"/>
          <w:b/>
          <w:color w:val="auto"/>
          <w:sz w:val="72"/>
          <w:szCs w:val="72"/>
          <w:highlight w:val="none"/>
        </w:rPr>
        <w:t>参加竞争性谈判意向书</w:t>
      </w:r>
    </w:p>
    <w:p>
      <w:pPr>
        <w:spacing w:line="720" w:lineRule="auto"/>
        <w:jc w:val="center"/>
        <w:rPr>
          <w:rFonts w:hint="eastAsia" w:ascii="黑体" w:hAnsi="宋体" w:eastAsia="黑体"/>
          <w:b/>
          <w:color w:val="auto"/>
          <w:w w:val="95"/>
          <w:sz w:val="44"/>
          <w:szCs w:val="72"/>
          <w:highlight w:val="none"/>
        </w:rPr>
      </w:pPr>
      <w:r>
        <w:rPr>
          <w:rFonts w:hint="eastAsia" w:ascii="黑体" w:hAnsi="宋体" w:eastAsia="黑体"/>
          <w:b/>
          <w:color w:val="auto"/>
          <w:sz w:val="44"/>
          <w:szCs w:val="72"/>
          <w:highlight w:val="none"/>
        </w:rPr>
        <w:t>（资格审查文件/技术部分/商务部分）</w:t>
      </w: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sz w:val="32"/>
          <w:szCs w:val="32"/>
          <w:highlight w:val="none"/>
        </w:rPr>
      </w:pPr>
    </w:p>
    <w:p>
      <w:pPr>
        <w:rPr>
          <w:color w:val="auto"/>
          <w:sz w:val="32"/>
          <w:szCs w:val="32"/>
          <w:highlight w:val="none"/>
        </w:rPr>
      </w:pPr>
    </w:p>
    <w:p>
      <w:pPr>
        <w:rPr>
          <w:color w:val="auto"/>
          <w:sz w:val="32"/>
          <w:szCs w:val="32"/>
          <w:highlight w:val="none"/>
        </w:rPr>
      </w:pPr>
    </w:p>
    <w:p>
      <w:pPr>
        <w:rPr>
          <w:color w:val="auto"/>
          <w:sz w:val="32"/>
          <w:szCs w:val="32"/>
          <w:highlight w:val="none"/>
        </w:rPr>
      </w:pPr>
    </w:p>
    <w:p>
      <w:pPr>
        <w:rPr>
          <w:color w:val="auto"/>
          <w:sz w:val="32"/>
          <w:szCs w:val="32"/>
          <w:highlight w:val="none"/>
        </w:rPr>
      </w:pPr>
    </w:p>
    <w:p>
      <w:pPr>
        <w:ind w:firstLine="1440" w:firstLineChars="450"/>
        <w:rPr>
          <w:color w:val="auto"/>
          <w:sz w:val="32"/>
          <w:szCs w:val="32"/>
          <w:highlight w:val="none"/>
        </w:rPr>
      </w:pPr>
      <w:r>
        <w:rPr>
          <w:rFonts w:hint="eastAsia"/>
          <w:color w:val="auto"/>
          <w:sz w:val="32"/>
          <w:szCs w:val="32"/>
          <w:highlight w:val="none"/>
        </w:rPr>
        <w:t>意向方：（加盖公章）</w:t>
      </w:r>
    </w:p>
    <w:p>
      <w:pPr>
        <w:ind w:firstLine="1440" w:firstLineChars="450"/>
        <w:rPr>
          <w:color w:val="auto"/>
          <w:sz w:val="32"/>
          <w:szCs w:val="32"/>
          <w:highlight w:val="none"/>
        </w:rPr>
      </w:pPr>
    </w:p>
    <w:p>
      <w:pPr>
        <w:ind w:firstLine="1440" w:firstLineChars="450"/>
        <w:rPr>
          <w:color w:val="auto"/>
          <w:sz w:val="32"/>
          <w:szCs w:val="32"/>
          <w:highlight w:val="none"/>
        </w:rPr>
      </w:pPr>
      <w:r>
        <w:rPr>
          <w:rFonts w:hint="eastAsia"/>
          <w:color w:val="auto"/>
          <w:sz w:val="32"/>
          <w:szCs w:val="32"/>
          <w:highlight w:val="none"/>
        </w:rPr>
        <w:t>法定代表人（或单位负责人）或</w:t>
      </w:r>
    </w:p>
    <w:p>
      <w:pPr>
        <w:ind w:firstLine="1440" w:firstLineChars="450"/>
        <w:rPr>
          <w:color w:val="auto"/>
          <w:sz w:val="32"/>
          <w:szCs w:val="32"/>
          <w:highlight w:val="none"/>
        </w:rPr>
      </w:pPr>
      <w:r>
        <w:rPr>
          <w:rFonts w:hint="eastAsia"/>
          <w:color w:val="auto"/>
          <w:sz w:val="32"/>
          <w:szCs w:val="32"/>
          <w:highlight w:val="none"/>
        </w:rPr>
        <w:t>委托代理人：</w:t>
      </w:r>
      <w:r>
        <w:rPr>
          <w:rFonts w:hint="eastAsia"/>
          <w:color w:val="auto"/>
          <w:sz w:val="32"/>
          <w:szCs w:val="32"/>
          <w:highlight w:val="none"/>
          <w:u w:val="single"/>
        </w:rPr>
        <w:t xml:space="preserve">（签字或盖章）  </w:t>
      </w:r>
    </w:p>
    <w:p>
      <w:pPr>
        <w:rPr>
          <w:color w:val="auto"/>
          <w:sz w:val="32"/>
          <w:szCs w:val="32"/>
          <w:highlight w:val="none"/>
        </w:rPr>
      </w:pPr>
    </w:p>
    <w:p>
      <w:pPr>
        <w:jc w:val="center"/>
        <w:rPr>
          <w:color w:val="auto"/>
          <w:sz w:val="32"/>
          <w:szCs w:val="32"/>
          <w:highlight w:val="none"/>
        </w:rPr>
      </w:pPr>
      <w:r>
        <w:rPr>
          <w:rFonts w:hint="eastAsia"/>
          <w:color w:val="auto"/>
          <w:sz w:val="32"/>
          <w:szCs w:val="32"/>
          <w:highlight w:val="none"/>
        </w:rPr>
        <w:t>二〇二四年**月**日</w:t>
      </w:r>
    </w:p>
    <w:p>
      <w:pPr>
        <w:spacing w:line="360" w:lineRule="auto"/>
        <w:rPr>
          <w:b/>
          <w:color w:val="auto"/>
          <w:sz w:val="30"/>
          <w:szCs w:val="30"/>
          <w:highlight w:val="none"/>
        </w:rPr>
      </w:pPr>
      <w:r>
        <w:rPr>
          <w:color w:val="auto"/>
          <w:highlight w:val="none"/>
        </w:rPr>
        <w:br w:type="page"/>
      </w:r>
      <w:r>
        <w:rPr>
          <w:rFonts w:hint="eastAsia"/>
          <w:b/>
          <w:color w:val="auto"/>
          <w:sz w:val="30"/>
          <w:szCs w:val="30"/>
          <w:highlight w:val="none"/>
        </w:rPr>
        <w:t>意向书中应包括但不限于以下内容和必要的图表：</w:t>
      </w:r>
    </w:p>
    <w:p>
      <w:pPr>
        <w:spacing w:line="360" w:lineRule="auto"/>
        <w:ind w:firstLine="375" w:firstLineChars="179"/>
        <w:rPr>
          <w:color w:val="auto"/>
          <w:highlight w:val="none"/>
        </w:rPr>
      </w:pPr>
    </w:p>
    <w:p>
      <w:pPr>
        <w:numPr>
          <w:ilvl w:val="0"/>
          <w:numId w:val="2"/>
        </w:numPr>
        <w:tabs>
          <w:tab w:val="left" w:pos="0"/>
        </w:tabs>
        <w:adjustRightInd/>
        <w:spacing w:line="480" w:lineRule="auto"/>
        <w:ind w:left="0" w:firstLine="429" w:firstLineChars="179"/>
        <w:textAlignment w:val="auto"/>
        <w:rPr>
          <w:rFonts w:hint="eastAsia"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商务谈判意向确认书</w:t>
      </w:r>
    </w:p>
    <w:p>
      <w:pPr>
        <w:numPr>
          <w:ilvl w:val="0"/>
          <w:numId w:val="2"/>
        </w:numPr>
        <w:tabs>
          <w:tab w:val="left" w:pos="0"/>
        </w:tabs>
        <w:adjustRightInd/>
        <w:spacing w:line="480" w:lineRule="auto"/>
        <w:ind w:left="0" w:firstLine="429" w:firstLineChars="179"/>
        <w:textAlignment w:val="auto"/>
        <w:rPr>
          <w:rFonts w:hint="eastAsia"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法人（或单位负责人）身份证明或法人（或单位负责人）授权委托书</w:t>
      </w:r>
    </w:p>
    <w:p>
      <w:pPr>
        <w:numPr>
          <w:ilvl w:val="0"/>
          <w:numId w:val="2"/>
        </w:numPr>
        <w:tabs>
          <w:tab w:val="left" w:pos="0"/>
        </w:tabs>
        <w:adjustRightInd/>
        <w:spacing w:line="480" w:lineRule="auto"/>
        <w:ind w:left="0" w:firstLine="429" w:firstLineChars="179"/>
        <w:textAlignment w:val="auto"/>
        <w:rPr>
          <w:rFonts w:hint="eastAsia"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意向单位资质（含准入及资质、项目组成员、质控组成员、领导协调组、软硬件设备、技术、相关项目经验及成果鉴定、质量控制及保证体系等）</w:t>
      </w:r>
    </w:p>
    <w:p>
      <w:pPr>
        <w:numPr>
          <w:ilvl w:val="0"/>
          <w:numId w:val="2"/>
        </w:numPr>
        <w:tabs>
          <w:tab w:val="left" w:pos="0"/>
        </w:tabs>
        <w:adjustRightInd/>
        <w:spacing w:line="480" w:lineRule="auto"/>
        <w:ind w:left="0" w:firstLine="429" w:firstLineChars="179"/>
        <w:textAlignment w:val="auto"/>
        <w:rPr>
          <w:rFonts w:hint="eastAsia"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技术服务要求</w:t>
      </w:r>
    </w:p>
    <w:p>
      <w:pPr>
        <w:numPr>
          <w:ilvl w:val="0"/>
          <w:numId w:val="2"/>
        </w:numPr>
        <w:tabs>
          <w:tab w:val="left" w:pos="0"/>
        </w:tabs>
        <w:adjustRightInd/>
        <w:spacing w:line="480" w:lineRule="auto"/>
        <w:ind w:left="0" w:firstLine="429" w:firstLineChars="179"/>
        <w:textAlignment w:val="auto"/>
        <w:rPr>
          <w:rFonts w:hint="eastAsia"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技术难点和对策</w:t>
      </w:r>
    </w:p>
    <w:p>
      <w:pPr>
        <w:numPr>
          <w:ilvl w:val="0"/>
          <w:numId w:val="2"/>
        </w:numPr>
        <w:tabs>
          <w:tab w:val="left" w:pos="0"/>
        </w:tabs>
        <w:adjustRightInd/>
        <w:spacing w:line="480" w:lineRule="auto"/>
        <w:ind w:left="0" w:firstLine="429" w:firstLineChars="179"/>
        <w:textAlignment w:val="auto"/>
        <w:rPr>
          <w:rFonts w:hint="eastAsia"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针对性技术方案</w:t>
      </w:r>
    </w:p>
    <w:p>
      <w:pPr>
        <w:numPr>
          <w:ilvl w:val="0"/>
          <w:numId w:val="2"/>
        </w:numPr>
        <w:tabs>
          <w:tab w:val="left" w:pos="0"/>
        </w:tabs>
        <w:adjustRightInd/>
        <w:spacing w:line="480" w:lineRule="auto"/>
        <w:ind w:left="0" w:firstLine="429" w:firstLineChars="179"/>
        <w:textAlignment w:val="auto"/>
        <w:rPr>
          <w:rFonts w:hint="eastAsia"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项目工作承诺(质量指标、周期、投入技术力量及人员、现场工作时长、设备等)</w:t>
      </w:r>
    </w:p>
    <w:p>
      <w:pPr>
        <w:numPr>
          <w:ilvl w:val="0"/>
          <w:numId w:val="2"/>
        </w:numPr>
        <w:tabs>
          <w:tab w:val="left" w:pos="0"/>
        </w:tabs>
        <w:adjustRightInd/>
        <w:spacing w:line="480" w:lineRule="auto"/>
        <w:ind w:left="0" w:firstLine="429" w:firstLineChars="179"/>
        <w:textAlignment w:val="auto"/>
        <w:rPr>
          <w:rFonts w:hint="eastAsia"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问题及建议</w:t>
      </w:r>
    </w:p>
    <w:p>
      <w:pPr>
        <w:numPr>
          <w:ilvl w:val="0"/>
          <w:numId w:val="2"/>
        </w:numPr>
        <w:tabs>
          <w:tab w:val="left" w:pos="0"/>
        </w:tabs>
        <w:adjustRightInd/>
        <w:spacing w:line="480" w:lineRule="auto"/>
        <w:ind w:left="0" w:firstLine="429" w:firstLineChars="179"/>
        <w:textAlignment w:val="auto"/>
        <w:rPr>
          <w:rFonts w:hint="eastAsia"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其它需说明的内容</w:t>
      </w:r>
    </w:p>
    <w:p>
      <w:pPr>
        <w:spacing w:line="360" w:lineRule="auto"/>
        <w:rPr>
          <w:rFonts w:hint="eastAsia" w:asciiTheme="minorEastAsia" w:hAnsiTheme="minorEastAsia" w:eastAsiaTheme="minorEastAsia"/>
          <w:color w:val="auto"/>
          <w:sz w:val="24"/>
          <w:szCs w:val="24"/>
          <w:highlight w:val="none"/>
        </w:rPr>
      </w:pPr>
      <w:r>
        <w:rPr>
          <w:rFonts w:asciiTheme="minorEastAsia" w:hAnsiTheme="minorEastAsia" w:eastAsiaTheme="minorEastAsia"/>
          <w:color w:val="auto"/>
          <w:sz w:val="24"/>
          <w:szCs w:val="24"/>
          <w:highlight w:val="none"/>
        </w:rPr>
        <w:t xml:space="preserve"> </w:t>
      </w:r>
    </w:p>
    <w:p>
      <w:pPr>
        <w:rPr>
          <w:rFonts w:hint="eastAsia" w:asciiTheme="minorEastAsia" w:hAnsiTheme="minorEastAsia" w:eastAsiaTheme="minorEastAsia"/>
          <w:color w:val="auto"/>
          <w:sz w:val="24"/>
          <w:szCs w:val="24"/>
          <w:highlight w:val="none"/>
        </w:rPr>
      </w:pPr>
      <w:r>
        <w:rPr>
          <w:rFonts w:asciiTheme="minorEastAsia" w:hAnsiTheme="minorEastAsia" w:eastAsiaTheme="minorEastAsia"/>
          <w:color w:val="auto"/>
          <w:sz w:val="24"/>
          <w:szCs w:val="24"/>
          <w:highlight w:val="none"/>
        </w:rPr>
        <w:br w:type="page"/>
      </w:r>
    </w:p>
    <w:p>
      <w:pPr>
        <w:spacing w:line="360" w:lineRule="auto"/>
        <w:jc w:val="center"/>
        <w:rPr>
          <w:rFonts w:hint="eastAsia" w:ascii="宋体" w:hAnsi="宋体" w:cs="宋体"/>
          <w:b/>
          <w:bCs/>
          <w:color w:val="auto"/>
          <w:sz w:val="32"/>
          <w:szCs w:val="32"/>
          <w:highlight w:val="none"/>
        </w:rPr>
      </w:pPr>
      <w:r>
        <w:rPr>
          <w:rFonts w:hint="eastAsia" w:ascii="宋体" w:hAnsi="宋体" w:cs="宋体"/>
          <w:b/>
          <w:bCs/>
          <w:color w:val="auto"/>
          <w:sz w:val="32"/>
          <w:szCs w:val="32"/>
          <w:highlight w:val="none"/>
        </w:rPr>
        <w:t>意向确认书</w:t>
      </w:r>
    </w:p>
    <w:p>
      <w:pPr>
        <w:spacing w:line="360" w:lineRule="auto"/>
        <w:rPr>
          <w:rFonts w:hint="eastAsia" w:ascii="宋体" w:hAnsi="宋体" w:cs="宋体"/>
          <w:color w:val="auto"/>
          <w:sz w:val="28"/>
          <w:szCs w:val="28"/>
          <w:highlight w:val="none"/>
        </w:rPr>
      </w:pPr>
      <w:r>
        <w:rPr>
          <w:rFonts w:hint="eastAsia" w:ascii="宋体" w:hAnsi="宋体" w:cs="宋体"/>
          <w:color w:val="auto"/>
          <w:sz w:val="28"/>
          <w:szCs w:val="28"/>
          <w:highlight w:val="none"/>
        </w:rPr>
        <w:t>中石化石油物探技术研究院有限公司：</w:t>
      </w:r>
    </w:p>
    <w:p>
      <w:pPr>
        <w:spacing w:line="360" w:lineRule="auto"/>
        <w:ind w:firstLine="560" w:firstLineChars="200"/>
        <w:rPr>
          <w:rFonts w:hint="eastAsia" w:ascii="宋体" w:hAnsi="宋体" w:cs="宋体"/>
          <w:color w:val="auto"/>
          <w:sz w:val="28"/>
          <w:szCs w:val="28"/>
          <w:highlight w:val="none"/>
        </w:rPr>
      </w:pPr>
      <w:r>
        <w:rPr>
          <w:rFonts w:hint="eastAsia" w:ascii="宋体" w:hAnsi="宋体" w:cs="宋体"/>
          <w:color w:val="auto"/>
          <w:sz w:val="28"/>
          <w:szCs w:val="28"/>
          <w:highlight w:val="none"/>
        </w:rPr>
        <w:t>我公司已于2024年**月**日收到贵院</w:t>
      </w:r>
      <w:r>
        <w:rPr>
          <w:rFonts w:hint="eastAsia" w:ascii="宋体" w:hAnsi="宋体" w:cs="宋体"/>
          <w:color w:val="auto"/>
          <w:sz w:val="28"/>
          <w:szCs w:val="28"/>
          <w:highlight w:val="none"/>
          <w:u w:val="single"/>
        </w:rPr>
        <w:t>微地震地面监测野外联合施工框架协议</w:t>
      </w:r>
      <w:r>
        <w:rPr>
          <w:rFonts w:hint="eastAsia" w:ascii="宋体" w:hAnsi="宋体" w:cs="宋体"/>
          <w:color w:val="auto"/>
          <w:sz w:val="28"/>
          <w:szCs w:val="28"/>
          <w:highlight w:val="none"/>
        </w:rPr>
        <w:t xml:space="preserve">的邀请函，我们确认邀请函完整清晰。 </w:t>
      </w:r>
    </w:p>
    <w:p>
      <w:pPr>
        <w:spacing w:line="360" w:lineRule="auto"/>
        <w:ind w:firstLine="560" w:firstLineChars="200"/>
        <w:rPr>
          <w:rFonts w:hint="eastAsia" w:ascii="宋体" w:hAnsi="宋体" w:cs="宋体"/>
          <w:color w:val="auto"/>
          <w:sz w:val="28"/>
          <w:szCs w:val="28"/>
          <w:highlight w:val="none"/>
        </w:rPr>
      </w:pPr>
      <w:r>
        <w:rPr>
          <w:rFonts w:hint="eastAsia" w:ascii="宋体" w:hAnsi="宋体" w:cs="宋体"/>
          <w:color w:val="auto"/>
          <w:sz w:val="28"/>
          <w:szCs w:val="28"/>
          <w:highlight w:val="none"/>
        </w:rPr>
        <w:t>有关商务谈判事宜，在下列括弧内打“√”者是我公司的意向：</w:t>
      </w:r>
    </w:p>
    <w:p>
      <w:pPr>
        <w:spacing w:line="360" w:lineRule="auto"/>
        <w:ind w:firstLine="560" w:firstLineChars="200"/>
        <w:rPr>
          <w:rFonts w:hint="eastAsia" w:ascii="宋体" w:hAnsi="宋体" w:cs="宋体"/>
          <w:color w:val="auto"/>
          <w:sz w:val="28"/>
          <w:szCs w:val="28"/>
          <w:highlight w:val="none"/>
        </w:rPr>
      </w:pPr>
      <w:r>
        <w:rPr>
          <w:rFonts w:hint="eastAsia" w:ascii="宋体" w:hAnsi="宋体" w:cs="宋体"/>
          <w:color w:val="auto"/>
          <w:sz w:val="28"/>
          <w:szCs w:val="28"/>
          <w:highlight w:val="none"/>
        </w:rPr>
        <w:t>（  ）我公司将按邀请函规定的时间参加该项目投标；</w:t>
      </w:r>
    </w:p>
    <w:p>
      <w:pPr>
        <w:spacing w:line="360" w:lineRule="auto"/>
        <w:ind w:firstLine="560" w:firstLineChars="200"/>
        <w:rPr>
          <w:rFonts w:hint="eastAsia" w:ascii="宋体" w:hAnsi="宋体" w:cs="宋体"/>
          <w:color w:val="auto"/>
          <w:sz w:val="28"/>
          <w:szCs w:val="28"/>
          <w:highlight w:val="none"/>
        </w:rPr>
      </w:pPr>
      <w:r>
        <w:rPr>
          <w:rFonts w:hint="eastAsia" w:ascii="宋体" w:hAnsi="宋体" w:cs="宋体"/>
          <w:color w:val="auto"/>
          <w:sz w:val="28"/>
          <w:szCs w:val="28"/>
          <w:highlight w:val="none"/>
        </w:rPr>
        <w:t>（  ）我公司谢绝贵公司的邀请，不参与该项目投标。</w:t>
      </w:r>
    </w:p>
    <w:p>
      <w:pPr>
        <w:spacing w:line="360" w:lineRule="auto"/>
        <w:ind w:firstLine="560" w:firstLineChars="200"/>
        <w:rPr>
          <w:rFonts w:hint="eastAsia" w:ascii="宋体" w:hAnsi="宋体" w:cs="宋体"/>
          <w:color w:val="auto"/>
          <w:sz w:val="28"/>
          <w:szCs w:val="28"/>
          <w:highlight w:val="none"/>
        </w:rPr>
      </w:pPr>
      <w:r>
        <w:rPr>
          <w:rFonts w:hint="eastAsia" w:ascii="宋体" w:hAnsi="宋体" w:cs="宋体"/>
          <w:color w:val="auto"/>
          <w:sz w:val="28"/>
          <w:szCs w:val="28"/>
          <w:highlight w:val="none"/>
        </w:rPr>
        <w:t>谢绝的理由是：</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w:t>
      </w:r>
    </w:p>
    <w:p>
      <w:pPr>
        <w:spacing w:line="360" w:lineRule="auto"/>
        <w:ind w:firstLine="560" w:firstLineChars="200"/>
        <w:rPr>
          <w:rFonts w:hint="eastAsia" w:ascii="宋体" w:hAnsi="宋体" w:cs="宋体"/>
          <w:color w:val="auto"/>
          <w:sz w:val="28"/>
          <w:szCs w:val="28"/>
          <w:highlight w:val="none"/>
        </w:rPr>
      </w:pPr>
      <w:r>
        <w:rPr>
          <w:rFonts w:hint="eastAsia" w:ascii="宋体" w:hAnsi="宋体" w:cs="宋体"/>
          <w:color w:val="auto"/>
          <w:sz w:val="28"/>
          <w:szCs w:val="28"/>
          <w:highlight w:val="none"/>
        </w:rPr>
        <w:t>我公司及本商务谈判项目联系人相关信息如下：</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1417"/>
        <w:gridCol w:w="1430"/>
        <w:gridCol w:w="700"/>
        <w:gridCol w:w="760"/>
        <w:gridCol w:w="1170"/>
        <w:gridCol w:w="986"/>
        <w:gridCol w:w="1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8719" w:type="dxa"/>
            <w:gridSpan w:val="8"/>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公司名称：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8719" w:type="dxa"/>
            <w:gridSpan w:val="8"/>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公司注册地址：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959" w:type="dxa"/>
            <w:vMerge w:val="restar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联系人</w:t>
            </w:r>
          </w:p>
        </w:tc>
        <w:tc>
          <w:tcPr>
            <w:tcW w:w="1417"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姓   名</w:t>
            </w:r>
          </w:p>
        </w:tc>
        <w:tc>
          <w:tcPr>
            <w:tcW w:w="1430" w:type="dxa"/>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cs="宋体"/>
                <w:color w:val="auto"/>
                <w:sz w:val="24"/>
                <w:szCs w:val="24"/>
                <w:highlight w:val="none"/>
              </w:rPr>
            </w:pPr>
          </w:p>
        </w:tc>
        <w:tc>
          <w:tcPr>
            <w:tcW w:w="700" w:type="dxa"/>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性别</w:t>
            </w:r>
          </w:p>
        </w:tc>
        <w:tc>
          <w:tcPr>
            <w:tcW w:w="760" w:type="dxa"/>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cs="宋体"/>
                <w:color w:val="auto"/>
                <w:sz w:val="24"/>
                <w:szCs w:val="24"/>
                <w:highlight w:val="none"/>
              </w:rPr>
            </w:pPr>
          </w:p>
        </w:tc>
        <w:tc>
          <w:tcPr>
            <w:tcW w:w="117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移动</w:t>
            </w:r>
          </w:p>
          <w:p>
            <w:pPr>
              <w:spacing w:line="24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电话</w:t>
            </w:r>
          </w:p>
        </w:tc>
        <w:tc>
          <w:tcPr>
            <w:tcW w:w="2283" w:type="dxa"/>
            <w:gridSpan w:val="2"/>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959"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cs="宋体"/>
                <w:color w:val="auto"/>
                <w:sz w:val="24"/>
                <w:szCs w:val="24"/>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工作部门</w:t>
            </w:r>
          </w:p>
        </w:tc>
        <w:tc>
          <w:tcPr>
            <w:tcW w:w="2130" w:type="dxa"/>
            <w:gridSpan w:val="2"/>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cs="宋体"/>
                <w:color w:val="auto"/>
                <w:sz w:val="24"/>
                <w:szCs w:val="24"/>
                <w:highlight w:val="none"/>
              </w:rPr>
            </w:pPr>
          </w:p>
        </w:tc>
        <w:tc>
          <w:tcPr>
            <w:tcW w:w="760" w:type="dxa"/>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职务</w:t>
            </w:r>
          </w:p>
        </w:tc>
        <w:tc>
          <w:tcPr>
            <w:tcW w:w="1170" w:type="dxa"/>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cs="宋体"/>
                <w:color w:val="auto"/>
                <w:sz w:val="24"/>
                <w:szCs w:val="24"/>
                <w:highlight w:val="none"/>
              </w:rPr>
            </w:pPr>
          </w:p>
        </w:tc>
        <w:tc>
          <w:tcPr>
            <w:tcW w:w="986"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固定</w:t>
            </w:r>
          </w:p>
          <w:p>
            <w:pPr>
              <w:spacing w:line="24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电话</w:t>
            </w:r>
          </w:p>
        </w:tc>
        <w:tc>
          <w:tcPr>
            <w:tcW w:w="1297" w:type="dxa"/>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trPr>
        <w:tc>
          <w:tcPr>
            <w:tcW w:w="959"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cs="宋体"/>
                <w:color w:val="auto"/>
                <w:sz w:val="24"/>
                <w:szCs w:val="24"/>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电子邮箱</w:t>
            </w:r>
          </w:p>
        </w:tc>
        <w:tc>
          <w:tcPr>
            <w:tcW w:w="4060" w:type="dxa"/>
            <w:gridSpan w:val="4"/>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cs="宋体"/>
                <w:color w:val="auto"/>
                <w:sz w:val="24"/>
                <w:szCs w:val="24"/>
                <w:highlight w:val="none"/>
              </w:rPr>
            </w:pPr>
          </w:p>
        </w:tc>
        <w:tc>
          <w:tcPr>
            <w:tcW w:w="986"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传 真</w:t>
            </w:r>
          </w:p>
        </w:tc>
        <w:tc>
          <w:tcPr>
            <w:tcW w:w="1297" w:type="dxa"/>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959"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cs="宋体"/>
                <w:color w:val="auto"/>
                <w:sz w:val="24"/>
                <w:szCs w:val="24"/>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办公地点</w:t>
            </w:r>
          </w:p>
        </w:tc>
        <w:tc>
          <w:tcPr>
            <w:tcW w:w="6343" w:type="dxa"/>
            <w:gridSpan w:val="6"/>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cs="宋体"/>
                <w:color w:val="auto"/>
                <w:sz w:val="24"/>
                <w:szCs w:val="24"/>
                <w:highlight w:val="none"/>
              </w:rPr>
            </w:pPr>
          </w:p>
        </w:tc>
      </w:tr>
    </w:tbl>
    <w:p>
      <w:pPr>
        <w:spacing w:line="240" w:lineRule="auto"/>
        <w:rPr>
          <w:rFonts w:hint="eastAsia" w:ascii="宋体" w:hAnsi="宋体" w:cs="宋体"/>
          <w:color w:val="auto"/>
          <w:sz w:val="24"/>
          <w:szCs w:val="24"/>
          <w:highlight w:val="none"/>
        </w:rPr>
      </w:pPr>
    </w:p>
    <w:p>
      <w:pPr>
        <w:spacing w:line="360" w:lineRule="auto"/>
        <w:ind w:firstLine="3640" w:firstLineChars="1300"/>
        <w:rPr>
          <w:rFonts w:hint="eastAsia" w:ascii="宋体" w:hAnsi="宋体" w:cs="宋体"/>
          <w:color w:val="auto"/>
          <w:sz w:val="28"/>
          <w:szCs w:val="28"/>
          <w:highlight w:val="none"/>
        </w:rPr>
      </w:pPr>
      <w:r>
        <w:rPr>
          <w:rFonts w:hint="eastAsia" w:ascii="宋体" w:hAnsi="宋体" w:cs="宋体"/>
          <w:color w:val="auto"/>
          <w:sz w:val="28"/>
          <w:szCs w:val="28"/>
          <w:highlight w:val="none"/>
        </w:rPr>
        <w:t>公司或单位名称：(盖单位章)</w:t>
      </w:r>
    </w:p>
    <w:p>
      <w:pPr>
        <w:spacing w:line="360" w:lineRule="auto"/>
        <w:rPr>
          <w:rFonts w:hint="eastAsia" w:asciiTheme="minorEastAsia" w:hAnsiTheme="minorEastAsia" w:eastAsiaTheme="minorEastAsia"/>
          <w:color w:val="auto"/>
          <w:sz w:val="28"/>
          <w:szCs w:val="28"/>
          <w:highlight w:val="none"/>
        </w:rPr>
      </w:pPr>
      <w:bookmarkStart w:id="65" w:name="_Toc321405334"/>
      <w:r>
        <w:rPr>
          <w:rFonts w:hint="eastAsia" w:ascii="宋体" w:hAnsi="宋体" w:cs="宋体"/>
          <w:color w:val="auto"/>
          <w:sz w:val="28"/>
          <w:szCs w:val="28"/>
          <w:highlight w:val="none"/>
        </w:rPr>
        <w:t xml:space="preserve">                                 年    月   日</w:t>
      </w:r>
      <w:bookmarkEnd w:id="65"/>
    </w:p>
    <w:p>
      <w:pPr>
        <w:pStyle w:val="70"/>
        <w:widowControl w:val="0"/>
        <w:autoSpaceDE w:val="0"/>
        <w:autoSpaceDN w:val="0"/>
        <w:adjustRightInd w:val="0"/>
        <w:spacing w:before="0" w:after="312" w:afterLines="100" w:line="560" w:lineRule="exact"/>
        <w:jc w:val="center"/>
        <w:rPr>
          <w:color w:val="auto"/>
          <w:sz w:val="24"/>
          <w:szCs w:val="24"/>
          <w:highlight w:val="none"/>
          <w:lang w:eastAsia="zh-CN"/>
        </w:rPr>
      </w:pPr>
      <w:r>
        <w:rPr>
          <w:color w:val="auto"/>
          <w:highlight w:val="none"/>
          <w:lang w:eastAsia="zh-CN"/>
        </w:rPr>
        <w:br w:type="page"/>
      </w:r>
    </w:p>
    <w:p>
      <w:pPr>
        <w:pStyle w:val="70"/>
        <w:widowControl w:val="0"/>
        <w:autoSpaceDE w:val="0"/>
        <w:autoSpaceDN w:val="0"/>
        <w:adjustRightInd w:val="0"/>
        <w:spacing w:before="0" w:after="312" w:afterLines="100" w:line="560" w:lineRule="exact"/>
        <w:jc w:val="center"/>
        <w:rPr>
          <w:rFonts w:hint="eastAsia" w:cs="宋体" w:asciiTheme="minorEastAsia" w:hAnsiTheme="minorEastAsia" w:eastAsiaTheme="minorEastAsia"/>
          <w:b/>
          <w:color w:val="auto"/>
          <w:sz w:val="32"/>
          <w:szCs w:val="28"/>
          <w:highlight w:val="none"/>
          <w:lang w:eastAsia="zh-CN"/>
        </w:rPr>
      </w:pPr>
      <w:r>
        <w:rPr>
          <w:rFonts w:hint="eastAsia" w:cs="宋体" w:asciiTheme="minorEastAsia" w:hAnsiTheme="minorEastAsia" w:eastAsiaTheme="minorEastAsia"/>
          <w:b/>
          <w:color w:val="auto"/>
          <w:sz w:val="32"/>
          <w:szCs w:val="28"/>
          <w:highlight w:val="none"/>
          <w:lang w:eastAsia="zh-CN"/>
        </w:rPr>
        <w:t>授权委托证明书</w:t>
      </w:r>
    </w:p>
    <w:p>
      <w:pPr>
        <w:spacing w:line="360" w:lineRule="auto"/>
        <w:ind w:firstLine="560" w:firstLineChars="200"/>
        <w:rPr>
          <w:rFonts w:hint="eastAsia" w:asciiTheme="minorEastAsia" w:hAnsiTheme="minorEastAsia"/>
          <w:color w:val="auto"/>
          <w:sz w:val="28"/>
          <w:szCs w:val="28"/>
          <w:highlight w:val="none"/>
        </w:rPr>
      </w:pPr>
      <w:r>
        <w:rPr>
          <w:rFonts w:hint="eastAsia" w:asciiTheme="minorEastAsia" w:hAnsiTheme="minorEastAsia"/>
          <w:color w:val="auto"/>
          <w:sz w:val="28"/>
          <w:szCs w:val="28"/>
          <w:highlight w:val="none"/>
          <w:u w:val="single"/>
        </w:rPr>
        <w:t xml:space="preserve">____ </w:t>
      </w:r>
      <w:r>
        <w:rPr>
          <w:rFonts w:hint="eastAsia" w:asciiTheme="minorEastAsia" w:hAnsiTheme="minorEastAsia"/>
          <w:color w:val="auto"/>
          <w:sz w:val="28"/>
          <w:szCs w:val="28"/>
          <w:highlight w:val="none"/>
        </w:rPr>
        <w:t>（姓名）系</w:t>
      </w:r>
      <w:r>
        <w:rPr>
          <w:rFonts w:hint="eastAsia" w:asciiTheme="minorEastAsia" w:hAnsiTheme="minorEastAsia"/>
          <w:color w:val="auto"/>
          <w:sz w:val="28"/>
          <w:szCs w:val="28"/>
          <w:highlight w:val="none"/>
          <w:u w:val="single"/>
        </w:rPr>
        <w:t>_          ___</w:t>
      </w:r>
      <w:r>
        <w:rPr>
          <w:rFonts w:hint="eastAsia" w:asciiTheme="minorEastAsia" w:hAnsiTheme="minorEastAsia"/>
          <w:color w:val="auto"/>
          <w:sz w:val="28"/>
          <w:szCs w:val="28"/>
          <w:highlight w:val="none"/>
        </w:rPr>
        <w:t>（意向方名称）法定代表人（或企业负责人），现授权委托</w:t>
      </w:r>
      <w:r>
        <w:rPr>
          <w:rFonts w:hint="eastAsia" w:asciiTheme="minorEastAsia" w:hAnsiTheme="minorEastAsia"/>
          <w:color w:val="auto"/>
          <w:sz w:val="28"/>
          <w:szCs w:val="28"/>
          <w:highlight w:val="none"/>
          <w:u w:val="single"/>
        </w:rPr>
        <w:t xml:space="preserve">     </w:t>
      </w:r>
      <w:r>
        <w:rPr>
          <w:rFonts w:hint="eastAsia" w:asciiTheme="minorEastAsia" w:hAnsiTheme="minorEastAsia"/>
          <w:color w:val="auto"/>
          <w:sz w:val="28"/>
          <w:szCs w:val="28"/>
          <w:highlight w:val="none"/>
        </w:rPr>
        <w:t>（姓名）</w:t>
      </w:r>
      <w:r>
        <w:rPr>
          <w:rFonts w:hint="eastAsia" w:asciiTheme="minorEastAsia" w:hAnsiTheme="minorEastAsia"/>
          <w:color w:val="auto"/>
          <w:sz w:val="28"/>
          <w:szCs w:val="28"/>
          <w:highlight w:val="none"/>
          <w:u w:val="single"/>
        </w:rPr>
        <w:t xml:space="preserve">           </w:t>
      </w:r>
      <w:r>
        <w:rPr>
          <w:rFonts w:hint="eastAsia" w:asciiTheme="minorEastAsia" w:hAnsiTheme="minorEastAsia"/>
          <w:color w:val="auto"/>
          <w:sz w:val="28"/>
          <w:szCs w:val="28"/>
          <w:highlight w:val="none"/>
        </w:rPr>
        <w:t>（在本单位的职务）为我公司代理人，以本公司的名义参加中石化石油物探技术研究院有限公司《</w:t>
      </w:r>
      <w:r>
        <w:rPr>
          <w:rFonts w:hint="eastAsia" w:asciiTheme="minorEastAsia" w:hAnsiTheme="minorEastAsia"/>
          <w:color w:val="auto"/>
          <w:sz w:val="28"/>
          <w:szCs w:val="28"/>
          <w:highlight w:val="none"/>
          <w:u w:val="single"/>
        </w:rPr>
        <w:t xml:space="preserve">                  </w:t>
      </w:r>
      <w:r>
        <w:rPr>
          <w:rFonts w:hint="eastAsia" w:asciiTheme="minorEastAsia" w:hAnsiTheme="minorEastAsia"/>
          <w:color w:val="auto"/>
          <w:sz w:val="28"/>
          <w:szCs w:val="28"/>
          <w:highlight w:val="none"/>
        </w:rPr>
        <w:t>》项目的竞争性谈判活动。代理人在谈判过程中签署的一切文件和处理与之有关的一切事务，我均予以承认。</w:t>
      </w:r>
    </w:p>
    <w:p>
      <w:pPr>
        <w:spacing w:line="360" w:lineRule="auto"/>
        <w:ind w:firstLine="560" w:firstLineChars="200"/>
        <w:rPr>
          <w:rFonts w:hint="eastAsia" w:asciiTheme="minorEastAsia" w:hAnsiTheme="minorEastAsia"/>
          <w:color w:val="auto"/>
          <w:sz w:val="28"/>
          <w:szCs w:val="28"/>
          <w:highlight w:val="none"/>
        </w:rPr>
      </w:pPr>
      <w:r>
        <w:rPr>
          <w:rFonts w:hint="eastAsia" w:asciiTheme="minorEastAsia" w:hAnsiTheme="minorEastAsia"/>
          <w:color w:val="auto"/>
          <w:sz w:val="28"/>
          <w:szCs w:val="28"/>
          <w:highlight w:val="none"/>
        </w:rPr>
        <w:t>代理人无权转委托。</w:t>
      </w:r>
    </w:p>
    <w:p>
      <w:pPr>
        <w:spacing w:line="360" w:lineRule="auto"/>
        <w:ind w:firstLine="560" w:firstLineChars="200"/>
        <w:rPr>
          <w:rFonts w:hint="eastAsia" w:asciiTheme="minorEastAsia" w:hAnsiTheme="minorEastAsia"/>
          <w:color w:val="auto"/>
          <w:sz w:val="28"/>
          <w:szCs w:val="28"/>
          <w:highlight w:val="none"/>
        </w:rPr>
      </w:pPr>
      <w:r>
        <w:rPr>
          <w:rFonts w:hint="eastAsia" w:asciiTheme="minorEastAsia" w:hAnsiTheme="minorEastAsia"/>
          <w:color w:val="auto"/>
          <w:sz w:val="28"/>
          <w:szCs w:val="28"/>
          <w:highlight w:val="none"/>
        </w:rPr>
        <w:t>特此委托</w:t>
      </w:r>
    </w:p>
    <w:p>
      <w:pPr>
        <w:spacing w:line="360" w:lineRule="auto"/>
        <w:ind w:firstLine="560" w:firstLineChars="200"/>
        <w:rPr>
          <w:rFonts w:hint="eastAsia" w:asciiTheme="minorEastAsia" w:hAnsiTheme="minorEastAsia"/>
          <w:color w:val="auto"/>
          <w:sz w:val="28"/>
          <w:szCs w:val="28"/>
          <w:highlight w:val="none"/>
        </w:rPr>
      </w:pPr>
    </w:p>
    <w:p>
      <w:pPr>
        <w:spacing w:line="360" w:lineRule="auto"/>
        <w:ind w:firstLine="560" w:firstLineChars="200"/>
        <w:rPr>
          <w:rFonts w:hint="eastAsia" w:asciiTheme="minorEastAsia" w:hAnsiTheme="minorEastAsia"/>
          <w:color w:val="auto"/>
          <w:sz w:val="28"/>
          <w:szCs w:val="28"/>
          <w:highlight w:val="none"/>
        </w:rPr>
      </w:pPr>
      <w:r>
        <w:rPr>
          <w:rFonts w:hint="eastAsia" w:asciiTheme="minorEastAsia" w:hAnsiTheme="minorEastAsia"/>
          <w:color w:val="auto"/>
          <w:sz w:val="28"/>
          <w:szCs w:val="28"/>
          <w:highlight w:val="none"/>
        </w:rPr>
        <w:t>委托代理人：</w:t>
      </w:r>
      <w:r>
        <w:rPr>
          <w:rFonts w:hint="eastAsia" w:asciiTheme="minorEastAsia" w:hAnsiTheme="minorEastAsia"/>
          <w:color w:val="auto"/>
          <w:sz w:val="28"/>
          <w:szCs w:val="28"/>
          <w:highlight w:val="none"/>
          <w:u w:val="single"/>
        </w:rPr>
        <w:t xml:space="preserve">       ___   </w:t>
      </w:r>
      <w:r>
        <w:rPr>
          <w:rFonts w:hint="eastAsia" w:asciiTheme="minorEastAsia" w:hAnsiTheme="minorEastAsia"/>
          <w:color w:val="auto"/>
          <w:sz w:val="28"/>
          <w:szCs w:val="28"/>
          <w:highlight w:val="none"/>
        </w:rPr>
        <w:t>（签字）</w:t>
      </w:r>
    </w:p>
    <w:p>
      <w:pPr>
        <w:spacing w:line="360" w:lineRule="auto"/>
        <w:ind w:firstLine="560" w:firstLineChars="200"/>
        <w:rPr>
          <w:rFonts w:hint="eastAsia" w:asciiTheme="minorEastAsia" w:hAnsiTheme="minorEastAsia"/>
          <w:color w:val="auto"/>
          <w:sz w:val="28"/>
          <w:szCs w:val="28"/>
          <w:highlight w:val="none"/>
        </w:rPr>
      </w:pPr>
      <w:r>
        <w:rPr>
          <w:rFonts w:hint="eastAsia" w:asciiTheme="minorEastAsia" w:hAnsiTheme="minorEastAsia"/>
          <w:color w:val="auto"/>
          <w:sz w:val="28"/>
          <w:szCs w:val="28"/>
          <w:highlight w:val="none"/>
        </w:rPr>
        <w:t>意向方：</w:t>
      </w:r>
      <w:r>
        <w:rPr>
          <w:rFonts w:hint="eastAsia" w:asciiTheme="minorEastAsia" w:hAnsiTheme="minorEastAsia"/>
          <w:color w:val="auto"/>
          <w:sz w:val="28"/>
          <w:szCs w:val="28"/>
          <w:highlight w:val="none"/>
          <w:u w:val="single"/>
        </w:rPr>
        <w:t xml:space="preserve">_          ___   </w:t>
      </w:r>
      <w:r>
        <w:rPr>
          <w:rFonts w:hint="eastAsia" w:asciiTheme="minorEastAsia" w:hAnsiTheme="minorEastAsia"/>
          <w:color w:val="auto"/>
          <w:sz w:val="28"/>
          <w:szCs w:val="28"/>
          <w:highlight w:val="none"/>
        </w:rPr>
        <w:t>（单位公章）</w:t>
      </w:r>
    </w:p>
    <w:p>
      <w:pPr>
        <w:spacing w:line="360" w:lineRule="auto"/>
        <w:ind w:firstLine="560" w:firstLineChars="200"/>
        <w:rPr>
          <w:rFonts w:hint="eastAsia" w:asciiTheme="minorEastAsia" w:hAnsiTheme="minorEastAsia"/>
          <w:color w:val="auto"/>
          <w:sz w:val="28"/>
          <w:szCs w:val="28"/>
          <w:highlight w:val="none"/>
        </w:rPr>
      </w:pPr>
      <w:r>
        <w:rPr>
          <w:rFonts w:hint="eastAsia" w:asciiTheme="minorEastAsia" w:hAnsiTheme="minorEastAsia"/>
          <w:color w:val="auto"/>
          <w:sz w:val="28"/>
          <w:szCs w:val="28"/>
          <w:highlight w:val="none"/>
        </w:rPr>
        <w:t>法定代表人（或负责人）：</w:t>
      </w:r>
      <w:r>
        <w:rPr>
          <w:rFonts w:hint="eastAsia" w:asciiTheme="minorEastAsia" w:hAnsiTheme="minorEastAsia"/>
          <w:color w:val="auto"/>
          <w:sz w:val="28"/>
          <w:szCs w:val="28"/>
          <w:highlight w:val="none"/>
          <w:u w:val="single"/>
        </w:rPr>
        <w:t xml:space="preserve">       ___   </w:t>
      </w:r>
      <w:r>
        <w:rPr>
          <w:rFonts w:hint="eastAsia" w:asciiTheme="minorEastAsia" w:hAnsiTheme="minorEastAsia"/>
          <w:color w:val="auto"/>
          <w:sz w:val="28"/>
          <w:szCs w:val="28"/>
          <w:highlight w:val="none"/>
        </w:rPr>
        <w:t>（签字）</w:t>
      </w:r>
    </w:p>
    <w:p>
      <w:pPr>
        <w:spacing w:line="360" w:lineRule="auto"/>
        <w:jc w:val="right"/>
        <w:rPr>
          <w:rFonts w:hint="eastAsia" w:asciiTheme="minorEastAsia" w:hAnsiTheme="minorEastAsia"/>
          <w:color w:val="auto"/>
          <w:sz w:val="28"/>
          <w:szCs w:val="28"/>
          <w:highlight w:val="none"/>
        </w:rPr>
      </w:pPr>
    </w:p>
    <w:p>
      <w:pPr>
        <w:spacing w:line="360" w:lineRule="auto"/>
        <w:jc w:val="right"/>
        <w:rPr>
          <w:rFonts w:hint="eastAsia" w:asciiTheme="minorEastAsia" w:hAnsiTheme="minorEastAsia"/>
          <w:color w:val="auto"/>
          <w:sz w:val="28"/>
          <w:szCs w:val="28"/>
          <w:highlight w:val="none"/>
        </w:rPr>
      </w:pPr>
      <w:r>
        <w:rPr>
          <w:rFonts w:hint="eastAsia" w:asciiTheme="minorEastAsia" w:hAnsiTheme="minorEastAsia"/>
          <w:color w:val="auto"/>
          <w:sz w:val="28"/>
          <w:szCs w:val="28"/>
          <w:highlight w:val="none"/>
        </w:rPr>
        <w:t>年   月   日</w:t>
      </w:r>
    </w:p>
    <w:p>
      <w:pPr>
        <w:spacing w:line="360" w:lineRule="auto"/>
        <w:ind w:firstLine="562" w:firstLineChars="200"/>
        <w:rPr>
          <w:rFonts w:hint="eastAsia" w:asciiTheme="minorEastAsia" w:hAnsiTheme="minorEastAsia"/>
          <w:b/>
          <w:color w:val="auto"/>
          <w:sz w:val="28"/>
          <w:szCs w:val="28"/>
          <w:highlight w:val="none"/>
        </w:rPr>
      </w:pPr>
    </w:p>
    <w:p>
      <w:pPr>
        <w:spacing w:line="360" w:lineRule="auto"/>
        <w:jc w:val="center"/>
        <w:rPr>
          <w:rFonts w:hint="eastAsia" w:asciiTheme="minorEastAsia" w:hAnsiTheme="minorEastAsia"/>
          <w:b/>
          <w:color w:val="auto"/>
          <w:sz w:val="24"/>
          <w:szCs w:val="28"/>
          <w:highlight w:val="none"/>
        </w:rPr>
      </w:pPr>
      <w:r>
        <w:rPr>
          <w:rFonts w:hint="eastAsia" w:asciiTheme="minorEastAsia" w:hAnsiTheme="minorEastAsia"/>
          <w:b/>
          <w:color w:val="auto"/>
          <w:sz w:val="24"/>
          <w:szCs w:val="28"/>
          <w:highlight w:val="none"/>
        </w:rPr>
        <w:t>（在本页下方附上法定代表人（或负责人）和委托代理人身份证复印件）</w:t>
      </w:r>
    </w:p>
    <w:p>
      <w:pPr>
        <w:rPr>
          <w:color w:val="auto"/>
          <w:sz w:val="24"/>
          <w:highlight w:val="none"/>
        </w:rPr>
      </w:pPr>
    </w:p>
    <w:p>
      <w:pPr>
        <w:rPr>
          <w:color w:val="auto"/>
          <w:sz w:val="24"/>
          <w:highlight w:val="none"/>
        </w:rPr>
      </w:pPr>
    </w:p>
    <w:p>
      <w:pPr>
        <w:spacing w:line="360" w:lineRule="exact"/>
        <w:rPr>
          <w:color w:val="auto"/>
          <w:sz w:val="24"/>
          <w:highlight w:val="none"/>
        </w:rPr>
      </w:pPr>
      <w:r>
        <w:rPr>
          <w:rFonts w:hint="eastAsia"/>
          <w:color w:val="auto"/>
          <w:sz w:val="24"/>
          <w:highlight w:val="none"/>
        </w:rPr>
        <w:t>说明：</w:t>
      </w:r>
    </w:p>
    <w:p>
      <w:pPr>
        <w:spacing w:line="360" w:lineRule="exact"/>
        <w:rPr>
          <w:color w:val="auto"/>
          <w:sz w:val="24"/>
          <w:highlight w:val="none"/>
        </w:rPr>
      </w:pPr>
      <w:r>
        <w:rPr>
          <w:rFonts w:hint="eastAsia"/>
          <w:color w:val="auto"/>
          <w:sz w:val="24"/>
          <w:highlight w:val="none"/>
        </w:rPr>
        <w:t xml:space="preserve">    1、法定代表人（或负责人）亲自签署“合同谈判记录”的，无需提交“授权委托证明书”。</w:t>
      </w:r>
    </w:p>
    <w:p>
      <w:pPr>
        <w:spacing w:line="360" w:lineRule="exact"/>
        <w:ind w:firstLine="480" w:firstLineChars="200"/>
        <w:rPr>
          <w:color w:val="auto"/>
          <w:sz w:val="24"/>
          <w:highlight w:val="none"/>
        </w:rPr>
      </w:pPr>
      <w:r>
        <w:rPr>
          <w:rFonts w:hint="eastAsia"/>
          <w:color w:val="auto"/>
          <w:sz w:val="24"/>
          <w:highlight w:val="none"/>
        </w:rPr>
        <w:t>2、非法人意向单位的，负责人指《营业执照》上载明的负责人。</w:t>
      </w:r>
    </w:p>
    <w:p>
      <w:pPr>
        <w:widowControl/>
        <w:adjustRightInd/>
        <w:spacing w:line="240" w:lineRule="auto"/>
        <w:jc w:val="left"/>
        <w:textAlignment w:val="auto"/>
        <w:rPr>
          <w:color w:val="auto"/>
          <w:highlight w:val="none"/>
        </w:rPr>
      </w:pPr>
    </w:p>
    <w:sectPr>
      <w:headerReference r:id="rId7" w:type="first"/>
      <w:footerReference r:id="rId10" w:type="first"/>
      <w:headerReference r:id="rId5" w:type="default"/>
      <w:footerReference r:id="rId8" w:type="default"/>
      <w:headerReference r:id="rId6" w:type="even"/>
      <w:footerReference r:id="rId9" w:type="even"/>
      <w:pgSz w:w="11906" w:h="16838"/>
      <w:pgMar w:top="1276" w:right="1800" w:bottom="1440" w:left="1800" w:header="851" w:footer="992" w:gutter="0"/>
      <w:pgNumType w:start="1"/>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ËÎÌå">
    <w:altName w:val="Times New Roman"/>
    <w:panose1 w:val="00000000000000000000"/>
    <w:charset w:val="00"/>
    <w:family w:val="roman"/>
    <w:pitch w:val="default"/>
    <w:sig w:usb0="00000000" w:usb1="00000000" w:usb2="00000000" w:usb3="00000000" w:csb0="00000001" w:csb1="00000000"/>
  </w:font>
  <w:font w:name="MyanbingST">
    <w:altName w:val="Times New Roman"/>
    <w:panose1 w:val="00000000000000000000"/>
    <w:charset w:val="00"/>
    <w:family w:val="auto"/>
    <w:pitch w:val="default"/>
    <w:sig w:usb0="00000000" w:usb1="00000000" w:usb2="00000008" w:usb3="00000000" w:csb0="0000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framePr w:wrap="around" w:vAnchor="text" w:hAnchor="margin" w:xAlign="center" w:y="1"/>
      <w:jc w:val="center"/>
      <w:rPr>
        <w:rStyle w:val="25"/>
      </w:rPr>
    </w:pPr>
    <w:r>
      <w:rPr>
        <w:rStyle w:val="25"/>
      </w:rPr>
      <w:fldChar w:fldCharType="begin"/>
    </w:r>
    <w:r>
      <w:rPr>
        <w:rStyle w:val="25"/>
      </w:rPr>
      <w:instrText xml:space="preserve">PAGE  </w:instrText>
    </w:r>
    <w:r>
      <w:rPr>
        <w:rStyle w:val="25"/>
      </w:rPr>
      <w:fldChar w:fldCharType="separate"/>
    </w:r>
    <w:r>
      <w:rPr>
        <w:rStyle w:val="25"/>
      </w:rPr>
      <w:t>7</w:t>
    </w:r>
    <w:r>
      <w:rPr>
        <w:rStyle w:val="25"/>
      </w:rPr>
      <w:fldChar w:fldCharType="end"/>
    </w:r>
  </w:p>
  <w:p>
    <w:pPr>
      <w:pStyle w:val="17"/>
      <w:framePr w:wrap="around" w:vAnchor="text" w:hAnchor="margin" w:xAlign="center" w:y="1"/>
      <w:jc w:val="center"/>
      <w:rPr>
        <w:rStyle w:val="25"/>
      </w:rPr>
    </w:pPr>
  </w:p>
  <w:p>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framePr w:wrap="around" w:vAnchor="text" w:hAnchor="margin" w:xAlign="center" w:y="1"/>
      <w:rPr>
        <w:rStyle w:val="25"/>
      </w:rPr>
    </w:pPr>
    <w:r>
      <w:rPr>
        <w:rStyle w:val="25"/>
      </w:rPr>
      <w:fldChar w:fldCharType="begin"/>
    </w:r>
    <w:r>
      <w:rPr>
        <w:rStyle w:val="25"/>
      </w:rPr>
      <w:instrText xml:space="preserve">PAGE  </w:instrText>
    </w:r>
    <w:r>
      <w:rPr>
        <w:rStyle w:val="25"/>
      </w:rPr>
      <w:fldChar w:fldCharType="end"/>
    </w:r>
  </w:p>
  <w:p>
    <w:pPr>
      <w:pStyle w:val="1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0C33C2B"/>
    <w:multiLevelType w:val="multilevel"/>
    <w:tmpl w:val="40C33C2B"/>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5E037508"/>
    <w:multiLevelType w:val="multilevel"/>
    <w:tmpl w:val="5E037508"/>
    <w:lvl w:ilvl="0" w:tentative="0">
      <w:start w:val="1"/>
      <w:numFmt w:val="japaneseCounting"/>
      <w:lvlText w:val="%1、"/>
      <w:lvlJc w:val="left"/>
      <w:pPr>
        <w:tabs>
          <w:tab w:val="left" w:pos="971"/>
        </w:tabs>
        <w:ind w:left="971" w:hanging="720"/>
      </w:pPr>
      <w:rPr>
        <w:rFonts w:hint="eastAsia"/>
      </w:rPr>
    </w:lvl>
    <w:lvl w:ilvl="1" w:tentative="0">
      <w:start w:val="1"/>
      <w:numFmt w:val="lowerLetter"/>
      <w:lvlText w:val="%2)"/>
      <w:lvlJc w:val="left"/>
      <w:pPr>
        <w:tabs>
          <w:tab w:val="left" w:pos="1091"/>
        </w:tabs>
        <w:ind w:left="1091" w:hanging="420"/>
      </w:pPr>
    </w:lvl>
    <w:lvl w:ilvl="2" w:tentative="0">
      <w:start w:val="1"/>
      <w:numFmt w:val="lowerRoman"/>
      <w:lvlText w:val="%3."/>
      <w:lvlJc w:val="right"/>
      <w:pPr>
        <w:tabs>
          <w:tab w:val="left" w:pos="1511"/>
        </w:tabs>
        <w:ind w:left="1511" w:hanging="420"/>
      </w:pPr>
    </w:lvl>
    <w:lvl w:ilvl="3" w:tentative="0">
      <w:start w:val="1"/>
      <w:numFmt w:val="decimal"/>
      <w:lvlText w:val="%4."/>
      <w:lvlJc w:val="left"/>
      <w:pPr>
        <w:tabs>
          <w:tab w:val="left" w:pos="1931"/>
        </w:tabs>
        <w:ind w:left="1931" w:hanging="420"/>
      </w:pPr>
    </w:lvl>
    <w:lvl w:ilvl="4" w:tentative="0">
      <w:start w:val="1"/>
      <w:numFmt w:val="lowerLetter"/>
      <w:lvlText w:val="%5)"/>
      <w:lvlJc w:val="left"/>
      <w:pPr>
        <w:tabs>
          <w:tab w:val="left" w:pos="2351"/>
        </w:tabs>
        <w:ind w:left="2351" w:hanging="420"/>
      </w:pPr>
    </w:lvl>
    <w:lvl w:ilvl="5" w:tentative="0">
      <w:start w:val="1"/>
      <w:numFmt w:val="lowerRoman"/>
      <w:lvlText w:val="%6."/>
      <w:lvlJc w:val="right"/>
      <w:pPr>
        <w:tabs>
          <w:tab w:val="left" w:pos="2771"/>
        </w:tabs>
        <w:ind w:left="2771" w:hanging="420"/>
      </w:pPr>
    </w:lvl>
    <w:lvl w:ilvl="6" w:tentative="0">
      <w:start w:val="1"/>
      <w:numFmt w:val="decimal"/>
      <w:lvlText w:val="%7."/>
      <w:lvlJc w:val="left"/>
      <w:pPr>
        <w:tabs>
          <w:tab w:val="left" w:pos="3191"/>
        </w:tabs>
        <w:ind w:left="3191" w:hanging="420"/>
      </w:pPr>
    </w:lvl>
    <w:lvl w:ilvl="7" w:tentative="0">
      <w:start w:val="1"/>
      <w:numFmt w:val="lowerLetter"/>
      <w:lvlText w:val="%8)"/>
      <w:lvlJc w:val="left"/>
      <w:pPr>
        <w:tabs>
          <w:tab w:val="left" w:pos="3611"/>
        </w:tabs>
        <w:ind w:left="3611" w:hanging="420"/>
      </w:pPr>
    </w:lvl>
    <w:lvl w:ilvl="8" w:tentative="0">
      <w:start w:val="1"/>
      <w:numFmt w:val="lowerRoman"/>
      <w:lvlText w:val="%9."/>
      <w:lvlJc w:val="right"/>
      <w:pPr>
        <w:tabs>
          <w:tab w:val="left" w:pos="4031"/>
        </w:tabs>
        <w:ind w:left="4031"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19F3"/>
    <w:rsid w:val="000000EB"/>
    <w:rsid w:val="00000F10"/>
    <w:rsid w:val="00001078"/>
    <w:rsid w:val="00001191"/>
    <w:rsid w:val="000024FA"/>
    <w:rsid w:val="000028D0"/>
    <w:rsid w:val="000045FD"/>
    <w:rsid w:val="00007071"/>
    <w:rsid w:val="000161E3"/>
    <w:rsid w:val="000179AB"/>
    <w:rsid w:val="00022F19"/>
    <w:rsid w:val="00026DEE"/>
    <w:rsid w:val="00030780"/>
    <w:rsid w:val="00031DE9"/>
    <w:rsid w:val="00032DCF"/>
    <w:rsid w:val="00035BF4"/>
    <w:rsid w:val="00037869"/>
    <w:rsid w:val="0004062B"/>
    <w:rsid w:val="0004109D"/>
    <w:rsid w:val="000419FB"/>
    <w:rsid w:val="0004469D"/>
    <w:rsid w:val="00047EE1"/>
    <w:rsid w:val="00051D46"/>
    <w:rsid w:val="000525B7"/>
    <w:rsid w:val="00052638"/>
    <w:rsid w:val="000562A2"/>
    <w:rsid w:val="0005788C"/>
    <w:rsid w:val="00064CC7"/>
    <w:rsid w:val="0006566F"/>
    <w:rsid w:val="00070488"/>
    <w:rsid w:val="0007125F"/>
    <w:rsid w:val="000757C0"/>
    <w:rsid w:val="00076E7F"/>
    <w:rsid w:val="00077275"/>
    <w:rsid w:val="00081131"/>
    <w:rsid w:val="000822A8"/>
    <w:rsid w:val="0008276D"/>
    <w:rsid w:val="00082C9C"/>
    <w:rsid w:val="0008325A"/>
    <w:rsid w:val="00086BBA"/>
    <w:rsid w:val="00090A8A"/>
    <w:rsid w:val="0009142E"/>
    <w:rsid w:val="000921DE"/>
    <w:rsid w:val="0009305B"/>
    <w:rsid w:val="00096628"/>
    <w:rsid w:val="00097B6C"/>
    <w:rsid w:val="000A114F"/>
    <w:rsid w:val="000A2A24"/>
    <w:rsid w:val="000A356F"/>
    <w:rsid w:val="000A75C5"/>
    <w:rsid w:val="000B28D2"/>
    <w:rsid w:val="000B34B5"/>
    <w:rsid w:val="000B3671"/>
    <w:rsid w:val="000B3F6A"/>
    <w:rsid w:val="000B5F47"/>
    <w:rsid w:val="000B6748"/>
    <w:rsid w:val="000B7089"/>
    <w:rsid w:val="000C0837"/>
    <w:rsid w:val="000C0F39"/>
    <w:rsid w:val="000C106E"/>
    <w:rsid w:val="000C10F6"/>
    <w:rsid w:val="000C4BEE"/>
    <w:rsid w:val="000D2C3F"/>
    <w:rsid w:val="000D64FC"/>
    <w:rsid w:val="000D78DA"/>
    <w:rsid w:val="000E20F9"/>
    <w:rsid w:val="000E39B9"/>
    <w:rsid w:val="000F0B79"/>
    <w:rsid w:val="000F1AFA"/>
    <w:rsid w:val="000F2046"/>
    <w:rsid w:val="000F3BDE"/>
    <w:rsid w:val="000F4571"/>
    <w:rsid w:val="000F4A3C"/>
    <w:rsid w:val="000F55D2"/>
    <w:rsid w:val="000F5E1F"/>
    <w:rsid w:val="001019EA"/>
    <w:rsid w:val="00101CA2"/>
    <w:rsid w:val="00103852"/>
    <w:rsid w:val="001059C1"/>
    <w:rsid w:val="00105FA1"/>
    <w:rsid w:val="001104BB"/>
    <w:rsid w:val="00110858"/>
    <w:rsid w:val="001109B5"/>
    <w:rsid w:val="00112E42"/>
    <w:rsid w:val="0011397F"/>
    <w:rsid w:val="001176F1"/>
    <w:rsid w:val="0012154D"/>
    <w:rsid w:val="0012554C"/>
    <w:rsid w:val="001278AC"/>
    <w:rsid w:val="00127C37"/>
    <w:rsid w:val="00130130"/>
    <w:rsid w:val="001307BE"/>
    <w:rsid w:val="00136D9F"/>
    <w:rsid w:val="001376A5"/>
    <w:rsid w:val="00137DC3"/>
    <w:rsid w:val="00137F29"/>
    <w:rsid w:val="00140A9E"/>
    <w:rsid w:val="00141E8C"/>
    <w:rsid w:val="0014247B"/>
    <w:rsid w:val="00146981"/>
    <w:rsid w:val="00146C53"/>
    <w:rsid w:val="00151788"/>
    <w:rsid w:val="0015224B"/>
    <w:rsid w:val="00153AE7"/>
    <w:rsid w:val="00153F8C"/>
    <w:rsid w:val="001569C9"/>
    <w:rsid w:val="00161805"/>
    <w:rsid w:val="00163B08"/>
    <w:rsid w:val="00164F8F"/>
    <w:rsid w:val="001720EC"/>
    <w:rsid w:val="00173D0E"/>
    <w:rsid w:val="0017639F"/>
    <w:rsid w:val="00185053"/>
    <w:rsid w:val="00186AE0"/>
    <w:rsid w:val="00187F28"/>
    <w:rsid w:val="00190198"/>
    <w:rsid w:val="001910D5"/>
    <w:rsid w:val="00194D12"/>
    <w:rsid w:val="001959AD"/>
    <w:rsid w:val="00197A6B"/>
    <w:rsid w:val="001A21A4"/>
    <w:rsid w:val="001A6844"/>
    <w:rsid w:val="001A75D3"/>
    <w:rsid w:val="001B01FF"/>
    <w:rsid w:val="001B0A9C"/>
    <w:rsid w:val="001B0C8B"/>
    <w:rsid w:val="001B2E06"/>
    <w:rsid w:val="001B5014"/>
    <w:rsid w:val="001B57AD"/>
    <w:rsid w:val="001B6004"/>
    <w:rsid w:val="001B675B"/>
    <w:rsid w:val="001B7F38"/>
    <w:rsid w:val="001C0453"/>
    <w:rsid w:val="001C07E2"/>
    <w:rsid w:val="001C09DB"/>
    <w:rsid w:val="001C23B1"/>
    <w:rsid w:val="001C36F5"/>
    <w:rsid w:val="001C54DA"/>
    <w:rsid w:val="001C6A85"/>
    <w:rsid w:val="001D2519"/>
    <w:rsid w:val="001D2D41"/>
    <w:rsid w:val="001D316B"/>
    <w:rsid w:val="001D60D2"/>
    <w:rsid w:val="001D726F"/>
    <w:rsid w:val="001E002A"/>
    <w:rsid w:val="001E0347"/>
    <w:rsid w:val="001E15C9"/>
    <w:rsid w:val="001E2092"/>
    <w:rsid w:val="001E2E5A"/>
    <w:rsid w:val="001E70E6"/>
    <w:rsid w:val="001F3CEE"/>
    <w:rsid w:val="001F64CA"/>
    <w:rsid w:val="001F72E3"/>
    <w:rsid w:val="001F7C3B"/>
    <w:rsid w:val="00203977"/>
    <w:rsid w:val="0020466D"/>
    <w:rsid w:val="002066F4"/>
    <w:rsid w:val="00210FF1"/>
    <w:rsid w:val="00211F75"/>
    <w:rsid w:val="00213C8A"/>
    <w:rsid w:val="00213CD4"/>
    <w:rsid w:val="0021764B"/>
    <w:rsid w:val="0022099E"/>
    <w:rsid w:val="00220F9D"/>
    <w:rsid w:val="00222FC2"/>
    <w:rsid w:val="00223FCF"/>
    <w:rsid w:val="00224504"/>
    <w:rsid w:val="00224BC2"/>
    <w:rsid w:val="00230782"/>
    <w:rsid w:val="002330D6"/>
    <w:rsid w:val="002338A3"/>
    <w:rsid w:val="002354EF"/>
    <w:rsid w:val="00241A4C"/>
    <w:rsid w:val="00245A0D"/>
    <w:rsid w:val="00256CC5"/>
    <w:rsid w:val="00262171"/>
    <w:rsid w:val="0026267F"/>
    <w:rsid w:val="0026355B"/>
    <w:rsid w:val="002635D8"/>
    <w:rsid w:val="00263AD5"/>
    <w:rsid w:val="0026615E"/>
    <w:rsid w:val="00272D0F"/>
    <w:rsid w:val="002730E1"/>
    <w:rsid w:val="0027499F"/>
    <w:rsid w:val="00275176"/>
    <w:rsid w:val="00277433"/>
    <w:rsid w:val="00282D20"/>
    <w:rsid w:val="00285C38"/>
    <w:rsid w:val="0028613D"/>
    <w:rsid w:val="00295EB8"/>
    <w:rsid w:val="0029746B"/>
    <w:rsid w:val="002A1836"/>
    <w:rsid w:val="002A3E35"/>
    <w:rsid w:val="002A42A2"/>
    <w:rsid w:val="002A43F8"/>
    <w:rsid w:val="002B47FA"/>
    <w:rsid w:val="002B52F9"/>
    <w:rsid w:val="002B5B48"/>
    <w:rsid w:val="002B5FDA"/>
    <w:rsid w:val="002C1DBC"/>
    <w:rsid w:val="002C41B2"/>
    <w:rsid w:val="002C44E7"/>
    <w:rsid w:val="002C4602"/>
    <w:rsid w:val="002D0AE8"/>
    <w:rsid w:val="002D18DF"/>
    <w:rsid w:val="002D547C"/>
    <w:rsid w:val="002D5DD7"/>
    <w:rsid w:val="002D7502"/>
    <w:rsid w:val="002D7CDF"/>
    <w:rsid w:val="002F5AED"/>
    <w:rsid w:val="00302A0F"/>
    <w:rsid w:val="00303198"/>
    <w:rsid w:val="00305660"/>
    <w:rsid w:val="003078A5"/>
    <w:rsid w:val="003100F0"/>
    <w:rsid w:val="00314B5B"/>
    <w:rsid w:val="0031602C"/>
    <w:rsid w:val="003200EE"/>
    <w:rsid w:val="00321D10"/>
    <w:rsid w:val="003232B6"/>
    <w:rsid w:val="0033379D"/>
    <w:rsid w:val="0034076D"/>
    <w:rsid w:val="003419E2"/>
    <w:rsid w:val="00342C5F"/>
    <w:rsid w:val="00344A03"/>
    <w:rsid w:val="00344FF4"/>
    <w:rsid w:val="00350E77"/>
    <w:rsid w:val="00362D3D"/>
    <w:rsid w:val="00362E36"/>
    <w:rsid w:val="00365830"/>
    <w:rsid w:val="003660DE"/>
    <w:rsid w:val="00366137"/>
    <w:rsid w:val="003671E0"/>
    <w:rsid w:val="00370B95"/>
    <w:rsid w:val="003767AE"/>
    <w:rsid w:val="00385EB2"/>
    <w:rsid w:val="003867DB"/>
    <w:rsid w:val="00386CAC"/>
    <w:rsid w:val="00390970"/>
    <w:rsid w:val="00390A1A"/>
    <w:rsid w:val="00394104"/>
    <w:rsid w:val="00394315"/>
    <w:rsid w:val="003979A3"/>
    <w:rsid w:val="003A3013"/>
    <w:rsid w:val="003A71B4"/>
    <w:rsid w:val="003A76DC"/>
    <w:rsid w:val="003B666E"/>
    <w:rsid w:val="003B7661"/>
    <w:rsid w:val="003C035A"/>
    <w:rsid w:val="003C11C5"/>
    <w:rsid w:val="003C3B1E"/>
    <w:rsid w:val="003C4353"/>
    <w:rsid w:val="003C7F42"/>
    <w:rsid w:val="003D04F2"/>
    <w:rsid w:val="003D0EAB"/>
    <w:rsid w:val="003D2493"/>
    <w:rsid w:val="003D49B9"/>
    <w:rsid w:val="003D6287"/>
    <w:rsid w:val="003E0AA5"/>
    <w:rsid w:val="003E24BD"/>
    <w:rsid w:val="003E2B64"/>
    <w:rsid w:val="003E30B7"/>
    <w:rsid w:val="003E417D"/>
    <w:rsid w:val="003E73A4"/>
    <w:rsid w:val="003F1DD7"/>
    <w:rsid w:val="003F7457"/>
    <w:rsid w:val="00401584"/>
    <w:rsid w:val="00411D8C"/>
    <w:rsid w:val="00412045"/>
    <w:rsid w:val="00415D8B"/>
    <w:rsid w:val="00420AB4"/>
    <w:rsid w:val="00421D02"/>
    <w:rsid w:val="00427F6E"/>
    <w:rsid w:val="00435763"/>
    <w:rsid w:val="00436928"/>
    <w:rsid w:val="00437568"/>
    <w:rsid w:val="00437CBD"/>
    <w:rsid w:val="00437E70"/>
    <w:rsid w:val="004447E7"/>
    <w:rsid w:val="00444F76"/>
    <w:rsid w:val="00454F31"/>
    <w:rsid w:val="004551E7"/>
    <w:rsid w:val="00455BF1"/>
    <w:rsid w:val="00457B7F"/>
    <w:rsid w:val="00457E5D"/>
    <w:rsid w:val="004612D9"/>
    <w:rsid w:val="004615E0"/>
    <w:rsid w:val="00462396"/>
    <w:rsid w:val="00463388"/>
    <w:rsid w:val="0047112E"/>
    <w:rsid w:val="0047391B"/>
    <w:rsid w:val="0048066F"/>
    <w:rsid w:val="00481086"/>
    <w:rsid w:val="004814D8"/>
    <w:rsid w:val="0048319B"/>
    <w:rsid w:val="00491CF0"/>
    <w:rsid w:val="00491FDC"/>
    <w:rsid w:val="00492A1C"/>
    <w:rsid w:val="00495DC6"/>
    <w:rsid w:val="00496B7F"/>
    <w:rsid w:val="004A0ACF"/>
    <w:rsid w:val="004A2E52"/>
    <w:rsid w:val="004A364B"/>
    <w:rsid w:val="004A418A"/>
    <w:rsid w:val="004A49DC"/>
    <w:rsid w:val="004A4D8C"/>
    <w:rsid w:val="004A4F65"/>
    <w:rsid w:val="004A7A24"/>
    <w:rsid w:val="004B2A20"/>
    <w:rsid w:val="004B51B9"/>
    <w:rsid w:val="004C3698"/>
    <w:rsid w:val="004D17EC"/>
    <w:rsid w:val="004D2552"/>
    <w:rsid w:val="004D4B2F"/>
    <w:rsid w:val="004E199F"/>
    <w:rsid w:val="004E3548"/>
    <w:rsid w:val="004E50A9"/>
    <w:rsid w:val="004E5692"/>
    <w:rsid w:val="004F03BA"/>
    <w:rsid w:val="004F044D"/>
    <w:rsid w:val="004F19D9"/>
    <w:rsid w:val="004F7491"/>
    <w:rsid w:val="0050157D"/>
    <w:rsid w:val="00504BFD"/>
    <w:rsid w:val="00510000"/>
    <w:rsid w:val="00510045"/>
    <w:rsid w:val="0051219C"/>
    <w:rsid w:val="005127BF"/>
    <w:rsid w:val="00513FA0"/>
    <w:rsid w:val="00514F54"/>
    <w:rsid w:val="00515884"/>
    <w:rsid w:val="005203F2"/>
    <w:rsid w:val="00520FE1"/>
    <w:rsid w:val="00527CC9"/>
    <w:rsid w:val="00527D3E"/>
    <w:rsid w:val="00533E8D"/>
    <w:rsid w:val="005369F2"/>
    <w:rsid w:val="005371C3"/>
    <w:rsid w:val="00537DC8"/>
    <w:rsid w:val="0054197A"/>
    <w:rsid w:val="00544661"/>
    <w:rsid w:val="00545C66"/>
    <w:rsid w:val="00545F55"/>
    <w:rsid w:val="00550F5E"/>
    <w:rsid w:val="00552EBF"/>
    <w:rsid w:val="00557166"/>
    <w:rsid w:val="00557843"/>
    <w:rsid w:val="00561DC5"/>
    <w:rsid w:val="00563056"/>
    <w:rsid w:val="00565AD5"/>
    <w:rsid w:val="00566336"/>
    <w:rsid w:val="00566CD4"/>
    <w:rsid w:val="005670DE"/>
    <w:rsid w:val="0057048A"/>
    <w:rsid w:val="00574D96"/>
    <w:rsid w:val="00574F6E"/>
    <w:rsid w:val="00577FF4"/>
    <w:rsid w:val="00580592"/>
    <w:rsid w:val="00580F6A"/>
    <w:rsid w:val="00582C59"/>
    <w:rsid w:val="00587FFC"/>
    <w:rsid w:val="0059288F"/>
    <w:rsid w:val="00592CA7"/>
    <w:rsid w:val="00595A4E"/>
    <w:rsid w:val="00595F57"/>
    <w:rsid w:val="00596776"/>
    <w:rsid w:val="00597A93"/>
    <w:rsid w:val="005A3A05"/>
    <w:rsid w:val="005A4F02"/>
    <w:rsid w:val="005A5227"/>
    <w:rsid w:val="005A69FE"/>
    <w:rsid w:val="005B2345"/>
    <w:rsid w:val="005B27AE"/>
    <w:rsid w:val="005B4120"/>
    <w:rsid w:val="005B7179"/>
    <w:rsid w:val="005C1C0B"/>
    <w:rsid w:val="005D085C"/>
    <w:rsid w:val="005D0F0F"/>
    <w:rsid w:val="005D38D5"/>
    <w:rsid w:val="005D486A"/>
    <w:rsid w:val="005D4DA2"/>
    <w:rsid w:val="005D725B"/>
    <w:rsid w:val="005E1858"/>
    <w:rsid w:val="005E6256"/>
    <w:rsid w:val="005F03F4"/>
    <w:rsid w:val="005F248E"/>
    <w:rsid w:val="005F3495"/>
    <w:rsid w:val="005F55BA"/>
    <w:rsid w:val="005F5FD4"/>
    <w:rsid w:val="005F6BEA"/>
    <w:rsid w:val="006027A5"/>
    <w:rsid w:val="00605307"/>
    <w:rsid w:val="006067B6"/>
    <w:rsid w:val="00610FE9"/>
    <w:rsid w:val="00611CCB"/>
    <w:rsid w:val="00612BDF"/>
    <w:rsid w:val="00614211"/>
    <w:rsid w:val="006157E4"/>
    <w:rsid w:val="006207C4"/>
    <w:rsid w:val="00621010"/>
    <w:rsid w:val="00621B23"/>
    <w:rsid w:val="006231E2"/>
    <w:rsid w:val="00627101"/>
    <w:rsid w:val="00631F39"/>
    <w:rsid w:val="006322E9"/>
    <w:rsid w:val="00632B5F"/>
    <w:rsid w:val="00632E2E"/>
    <w:rsid w:val="00637DDF"/>
    <w:rsid w:val="00641A4B"/>
    <w:rsid w:val="006522EF"/>
    <w:rsid w:val="00654057"/>
    <w:rsid w:val="006565EB"/>
    <w:rsid w:val="00656C71"/>
    <w:rsid w:val="00660D62"/>
    <w:rsid w:val="00665353"/>
    <w:rsid w:val="006655B9"/>
    <w:rsid w:val="00667AE6"/>
    <w:rsid w:val="00671FEB"/>
    <w:rsid w:val="00676878"/>
    <w:rsid w:val="0068152A"/>
    <w:rsid w:val="00683679"/>
    <w:rsid w:val="00686962"/>
    <w:rsid w:val="0069442E"/>
    <w:rsid w:val="006974C7"/>
    <w:rsid w:val="006A09E5"/>
    <w:rsid w:val="006A1F36"/>
    <w:rsid w:val="006A2069"/>
    <w:rsid w:val="006A2847"/>
    <w:rsid w:val="006A2CC4"/>
    <w:rsid w:val="006A58EA"/>
    <w:rsid w:val="006A69E0"/>
    <w:rsid w:val="006B23AB"/>
    <w:rsid w:val="006B5E68"/>
    <w:rsid w:val="006B6403"/>
    <w:rsid w:val="006C06A0"/>
    <w:rsid w:val="006C1540"/>
    <w:rsid w:val="006C154A"/>
    <w:rsid w:val="006C2EC4"/>
    <w:rsid w:val="006C3FEC"/>
    <w:rsid w:val="006C4674"/>
    <w:rsid w:val="006D0ED8"/>
    <w:rsid w:val="006D100A"/>
    <w:rsid w:val="006D140C"/>
    <w:rsid w:val="006D73A6"/>
    <w:rsid w:val="006E179C"/>
    <w:rsid w:val="006E2377"/>
    <w:rsid w:val="006E3BE3"/>
    <w:rsid w:val="006E3DC4"/>
    <w:rsid w:val="006F2407"/>
    <w:rsid w:val="006F3152"/>
    <w:rsid w:val="006F347B"/>
    <w:rsid w:val="006F7140"/>
    <w:rsid w:val="0070049A"/>
    <w:rsid w:val="00700BC1"/>
    <w:rsid w:val="0070246D"/>
    <w:rsid w:val="00706527"/>
    <w:rsid w:val="00707B7F"/>
    <w:rsid w:val="00711BC7"/>
    <w:rsid w:val="00713E73"/>
    <w:rsid w:val="00717A1A"/>
    <w:rsid w:val="007218C4"/>
    <w:rsid w:val="00722C8F"/>
    <w:rsid w:val="00723F4D"/>
    <w:rsid w:val="00724CF5"/>
    <w:rsid w:val="0073050F"/>
    <w:rsid w:val="007321BB"/>
    <w:rsid w:val="00735A36"/>
    <w:rsid w:val="00737CC2"/>
    <w:rsid w:val="0074041F"/>
    <w:rsid w:val="007437A2"/>
    <w:rsid w:val="0074661F"/>
    <w:rsid w:val="00746A2F"/>
    <w:rsid w:val="0075182A"/>
    <w:rsid w:val="0075235C"/>
    <w:rsid w:val="0075374F"/>
    <w:rsid w:val="00753872"/>
    <w:rsid w:val="00753FAC"/>
    <w:rsid w:val="007545FD"/>
    <w:rsid w:val="00755306"/>
    <w:rsid w:val="00755534"/>
    <w:rsid w:val="0075741A"/>
    <w:rsid w:val="00761A97"/>
    <w:rsid w:val="00763A50"/>
    <w:rsid w:val="00771B0A"/>
    <w:rsid w:val="00773B26"/>
    <w:rsid w:val="0077483C"/>
    <w:rsid w:val="007750E6"/>
    <w:rsid w:val="00775478"/>
    <w:rsid w:val="00776283"/>
    <w:rsid w:val="007776FA"/>
    <w:rsid w:val="00781241"/>
    <w:rsid w:val="0078337C"/>
    <w:rsid w:val="00783A74"/>
    <w:rsid w:val="00784419"/>
    <w:rsid w:val="00785926"/>
    <w:rsid w:val="00793741"/>
    <w:rsid w:val="00795776"/>
    <w:rsid w:val="007A08E8"/>
    <w:rsid w:val="007A0B26"/>
    <w:rsid w:val="007A19D7"/>
    <w:rsid w:val="007A577D"/>
    <w:rsid w:val="007A5868"/>
    <w:rsid w:val="007B7505"/>
    <w:rsid w:val="007C1A29"/>
    <w:rsid w:val="007C1AC9"/>
    <w:rsid w:val="007C39D7"/>
    <w:rsid w:val="007C6568"/>
    <w:rsid w:val="007C6611"/>
    <w:rsid w:val="007C6CF9"/>
    <w:rsid w:val="007C74BB"/>
    <w:rsid w:val="007D1C11"/>
    <w:rsid w:val="007D62BE"/>
    <w:rsid w:val="007D67BE"/>
    <w:rsid w:val="007D7A59"/>
    <w:rsid w:val="007E4243"/>
    <w:rsid w:val="007E7E84"/>
    <w:rsid w:val="007F1749"/>
    <w:rsid w:val="007F3F34"/>
    <w:rsid w:val="007F4E8B"/>
    <w:rsid w:val="007F5416"/>
    <w:rsid w:val="007F5A6C"/>
    <w:rsid w:val="007F7094"/>
    <w:rsid w:val="008010E3"/>
    <w:rsid w:val="00803627"/>
    <w:rsid w:val="00805E0C"/>
    <w:rsid w:val="0080712C"/>
    <w:rsid w:val="0081131C"/>
    <w:rsid w:val="00815CC7"/>
    <w:rsid w:val="008205F2"/>
    <w:rsid w:val="00823576"/>
    <w:rsid w:val="008237B5"/>
    <w:rsid w:val="008277A4"/>
    <w:rsid w:val="0083647A"/>
    <w:rsid w:val="00837EFF"/>
    <w:rsid w:val="00842489"/>
    <w:rsid w:val="00843115"/>
    <w:rsid w:val="00844023"/>
    <w:rsid w:val="00844A39"/>
    <w:rsid w:val="00845220"/>
    <w:rsid w:val="00845515"/>
    <w:rsid w:val="00846953"/>
    <w:rsid w:val="00852195"/>
    <w:rsid w:val="008524EB"/>
    <w:rsid w:val="00852519"/>
    <w:rsid w:val="008527D0"/>
    <w:rsid w:val="00853C4D"/>
    <w:rsid w:val="00854831"/>
    <w:rsid w:val="0085535E"/>
    <w:rsid w:val="008554BB"/>
    <w:rsid w:val="008563C0"/>
    <w:rsid w:val="008615BE"/>
    <w:rsid w:val="00866F41"/>
    <w:rsid w:val="008716FA"/>
    <w:rsid w:val="00875070"/>
    <w:rsid w:val="0087765D"/>
    <w:rsid w:val="008806D4"/>
    <w:rsid w:val="008814F9"/>
    <w:rsid w:val="00882A85"/>
    <w:rsid w:val="0088529B"/>
    <w:rsid w:val="00886E1F"/>
    <w:rsid w:val="00887D73"/>
    <w:rsid w:val="008910A9"/>
    <w:rsid w:val="00891E29"/>
    <w:rsid w:val="008934BF"/>
    <w:rsid w:val="00896ECA"/>
    <w:rsid w:val="00896F7B"/>
    <w:rsid w:val="00896FBA"/>
    <w:rsid w:val="008A0AC5"/>
    <w:rsid w:val="008A1903"/>
    <w:rsid w:val="008A2AAE"/>
    <w:rsid w:val="008A533C"/>
    <w:rsid w:val="008A644D"/>
    <w:rsid w:val="008A7963"/>
    <w:rsid w:val="008B1C54"/>
    <w:rsid w:val="008B4907"/>
    <w:rsid w:val="008C112B"/>
    <w:rsid w:val="008C1145"/>
    <w:rsid w:val="008C2B6E"/>
    <w:rsid w:val="008C5303"/>
    <w:rsid w:val="008C5322"/>
    <w:rsid w:val="008C7BFD"/>
    <w:rsid w:val="008D1B80"/>
    <w:rsid w:val="008D1BF3"/>
    <w:rsid w:val="008D3888"/>
    <w:rsid w:val="008D6AEA"/>
    <w:rsid w:val="008D6E28"/>
    <w:rsid w:val="008D6EC3"/>
    <w:rsid w:val="008E068B"/>
    <w:rsid w:val="008E077C"/>
    <w:rsid w:val="008E2E5E"/>
    <w:rsid w:val="008E6921"/>
    <w:rsid w:val="008F7762"/>
    <w:rsid w:val="009023BC"/>
    <w:rsid w:val="00904AF4"/>
    <w:rsid w:val="009052E1"/>
    <w:rsid w:val="00905A74"/>
    <w:rsid w:val="009065D8"/>
    <w:rsid w:val="00906A27"/>
    <w:rsid w:val="00907A20"/>
    <w:rsid w:val="00912D03"/>
    <w:rsid w:val="009135AA"/>
    <w:rsid w:val="00915B22"/>
    <w:rsid w:val="00921E85"/>
    <w:rsid w:val="00924718"/>
    <w:rsid w:val="00930EA3"/>
    <w:rsid w:val="00931D70"/>
    <w:rsid w:val="00932B6C"/>
    <w:rsid w:val="00935090"/>
    <w:rsid w:val="009411F5"/>
    <w:rsid w:val="0094474F"/>
    <w:rsid w:val="00944BFA"/>
    <w:rsid w:val="0095067E"/>
    <w:rsid w:val="009521D6"/>
    <w:rsid w:val="00955F02"/>
    <w:rsid w:val="00960963"/>
    <w:rsid w:val="00964899"/>
    <w:rsid w:val="00966939"/>
    <w:rsid w:val="009721BF"/>
    <w:rsid w:val="00972AE7"/>
    <w:rsid w:val="00973EE2"/>
    <w:rsid w:val="00984641"/>
    <w:rsid w:val="009861C8"/>
    <w:rsid w:val="00992887"/>
    <w:rsid w:val="00992FF2"/>
    <w:rsid w:val="009935B3"/>
    <w:rsid w:val="00996573"/>
    <w:rsid w:val="009A2201"/>
    <w:rsid w:val="009A6F20"/>
    <w:rsid w:val="009A6FD9"/>
    <w:rsid w:val="009A7C95"/>
    <w:rsid w:val="009B3643"/>
    <w:rsid w:val="009C0342"/>
    <w:rsid w:val="009C0A6B"/>
    <w:rsid w:val="009C0B55"/>
    <w:rsid w:val="009C13BB"/>
    <w:rsid w:val="009C17A7"/>
    <w:rsid w:val="009C6400"/>
    <w:rsid w:val="009C7540"/>
    <w:rsid w:val="009D06AB"/>
    <w:rsid w:val="009D4728"/>
    <w:rsid w:val="009D4E84"/>
    <w:rsid w:val="009D6A12"/>
    <w:rsid w:val="009E3834"/>
    <w:rsid w:val="009F11BF"/>
    <w:rsid w:val="009F1E1D"/>
    <w:rsid w:val="009F2130"/>
    <w:rsid w:val="009F31A8"/>
    <w:rsid w:val="009F344B"/>
    <w:rsid w:val="009F4CC3"/>
    <w:rsid w:val="009F5043"/>
    <w:rsid w:val="00A006B9"/>
    <w:rsid w:val="00A01446"/>
    <w:rsid w:val="00A139BB"/>
    <w:rsid w:val="00A1591F"/>
    <w:rsid w:val="00A323B3"/>
    <w:rsid w:val="00A32DE3"/>
    <w:rsid w:val="00A33634"/>
    <w:rsid w:val="00A33C11"/>
    <w:rsid w:val="00A3413E"/>
    <w:rsid w:val="00A351AE"/>
    <w:rsid w:val="00A50D5F"/>
    <w:rsid w:val="00A52103"/>
    <w:rsid w:val="00A52DA2"/>
    <w:rsid w:val="00A52F35"/>
    <w:rsid w:val="00A54D96"/>
    <w:rsid w:val="00A54FCD"/>
    <w:rsid w:val="00A557EE"/>
    <w:rsid w:val="00A5774D"/>
    <w:rsid w:val="00A60AC7"/>
    <w:rsid w:val="00A619C6"/>
    <w:rsid w:val="00A61F52"/>
    <w:rsid w:val="00A63A50"/>
    <w:rsid w:val="00A63C80"/>
    <w:rsid w:val="00A64FF0"/>
    <w:rsid w:val="00A65F83"/>
    <w:rsid w:val="00A6651E"/>
    <w:rsid w:val="00A676E4"/>
    <w:rsid w:val="00A67E08"/>
    <w:rsid w:val="00A70CE8"/>
    <w:rsid w:val="00A726F9"/>
    <w:rsid w:val="00A74EFD"/>
    <w:rsid w:val="00A758A4"/>
    <w:rsid w:val="00A81006"/>
    <w:rsid w:val="00A82062"/>
    <w:rsid w:val="00A822E3"/>
    <w:rsid w:val="00A84A43"/>
    <w:rsid w:val="00A85550"/>
    <w:rsid w:val="00A87B42"/>
    <w:rsid w:val="00A912E4"/>
    <w:rsid w:val="00A9197D"/>
    <w:rsid w:val="00A9221B"/>
    <w:rsid w:val="00A93348"/>
    <w:rsid w:val="00A93A52"/>
    <w:rsid w:val="00A93C8B"/>
    <w:rsid w:val="00A96516"/>
    <w:rsid w:val="00AA232A"/>
    <w:rsid w:val="00AA2FB7"/>
    <w:rsid w:val="00AA3213"/>
    <w:rsid w:val="00AA4DFC"/>
    <w:rsid w:val="00AB1396"/>
    <w:rsid w:val="00AC3D43"/>
    <w:rsid w:val="00AC68C2"/>
    <w:rsid w:val="00AC6DD2"/>
    <w:rsid w:val="00AD05A4"/>
    <w:rsid w:val="00AD2CF2"/>
    <w:rsid w:val="00AD5E33"/>
    <w:rsid w:val="00AD60A3"/>
    <w:rsid w:val="00AD66D9"/>
    <w:rsid w:val="00AD7250"/>
    <w:rsid w:val="00AE095B"/>
    <w:rsid w:val="00AE4584"/>
    <w:rsid w:val="00AE6EFB"/>
    <w:rsid w:val="00AE733F"/>
    <w:rsid w:val="00AE7F19"/>
    <w:rsid w:val="00AF3A63"/>
    <w:rsid w:val="00AF4801"/>
    <w:rsid w:val="00AF62E2"/>
    <w:rsid w:val="00AF7D5E"/>
    <w:rsid w:val="00B0534D"/>
    <w:rsid w:val="00B05895"/>
    <w:rsid w:val="00B0668F"/>
    <w:rsid w:val="00B06E0F"/>
    <w:rsid w:val="00B07108"/>
    <w:rsid w:val="00B149BE"/>
    <w:rsid w:val="00B25C6E"/>
    <w:rsid w:val="00B25E82"/>
    <w:rsid w:val="00B30AF3"/>
    <w:rsid w:val="00B326A0"/>
    <w:rsid w:val="00B32E32"/>
    <w:rsid w:val="00B3479F"/>
    <w:rsid w:val="00B36272"/>
    <w:rsid w:val="00B378B4"/>
    <w:rsid w:val="00B4107E"/>
    <w:rsid w:val="00B42545"/>
    <w:rsid w:val="00B42E6A"/>
    <w:rsid w:val="00B45831"/>
    <w:rsid w:val="00B513E1"/>
    <w:rsid w:val="00B5145F"/>
    <w:rsid w:val="00B51776"/>
    <w:rsid w:val="00B523B2"/>
    <w:rsid w:val="00B52736"/>
    <w:rsid w:val="00B529C9"/>
    <w:rsid w:val="00B54C64"/>
    <w:rsid w:val="00B564F1"/>
    <w:rsid w:val="00B57DB6"/>
    <w:rsid w:val="00B60896"/>
    <w:rsid w:val="00B62C30"/>
    <w:rsid w:val="00B647B0"/>
    <w:rsid w:val="00B668C9"/>
    <w:rsid w:val="00B709E7"/>
    <w:rsid w:val="00B70ABC"/>
    <w:rsid w:val="00B71495"/>
    <w:rsid w:val="00B715F1"/>
    <w:rsid w:val="00B7180B"/>
    <w:rsid w:val="00B71A48"/>
    <w:rsid w:val="00B7261B"/>
    <w:rsid w:val="00B74F54"/>
    <w:rsid w:val="00B77D06"/>
    <w:rsid w:val="00B77FB7"/>
    <w:rsid w:val="00B80231"/>
    <w:rsid w:val="00B80E6E"/>
    <w:rsid w:val="00B8443E"/>
    <w:rsid w:val="00B84BC0"/>
    <w:rsid w:val="00B84C11"/>
    <w:rsid w:val="00B9681B"/>
    <w:rsid w:val="00B9772E"/>
    <w:rsid w:val="00BA09CE"/>
    <w:rsid w:val="00BA11D0"/>
    <w:rsid w:val="00BA258E"/>
    <w:rsid w:val="00BA2E52"/>
    <w:rsid w:val="00BA3C08"/>
    <w:rsid w:val="00BA43DC"/>
    <w:rsid w:val="00BA655C"/>
    <w:rsid w:val="00BA7A4C"/>
    <w:rsid w:val="00BB3600"/>
    <w:rsid w:val="00BB3DE3"/>
    <w:rsid w:val="00BB612A"/>
    <w:rsid w:val="00BB68FE"/>
    <w:rsid w:val="00BB735E"/>
    <w:rsid w:val="00BB7F0A"/>
    <w:rsid w:val="00BC1261"/>
    <w:rsid w:val="00BC228C"/>
    <w:rsid w:val="00BC27BE"/>
    <w:rsid w:val="00BC374A"/>
    <w:rsid w:val="00BC3F4A"/>
    <w:rsid w:val="00BC611B"/>
    <w:rsid w:val="00BC6DAD"/>
    <w:rsid w:val="00BD0977"/>
    <w:rsid w:val="00BD2342"/>
    <w:rsid w:val="00BD488E"/>
    <w:rsid w:val="00BD60B0"/>
    <w:rsid w:val="00BE0861"/>
    <w:rsid w:val="00BE16DC"/>
    <w:rsid w:val="00BE4AE0"/>
    <w:rsid w:val="00BE4FB8"/>
    <w:rsid w:val="00BE50F0"/>
    <w:rsid w:val="00BF01D8"/>
    <w:rsid w:val="00BF0767"/>
    <w:rsid w:val="00BF1863"/>
    <w:rsid w:val="00BF4C6B"/>
    <w:rsid w:val="00BF6BCB"/>
    <w:rsid w:val="00C02B2B"/>
    <w:rsid w:val="00C03128"/>
    <w:rsid w:val="00C0511F"/>
    <w:rsid w:val="00C0623D"/>
    <w:rsid w:val="00C07D15"/>
    <w:rsid w:val="00C07F96"/>
    <w:rsid w:val="00C11FA4"/>
    <w:rsid w:val="00C125D9"/>
    <w:rsid w:val="00C17FB0"/>
    <w:rsid w:val="00C20806"/>
    <w:rsid w:val="00C2110E"/>
    <w:rsid w:val="00C218C4"/>
    <w:rsid w:val="00C232E1"/>
    <w:rsid w:val="00C24F5E"/>
    <w:rsid w:val="00C25661"/>
    <w:rsid w:val="00C2582B"/>
    <w:rsid w:val="00C25BC5"/>
    <w:rsid w:val="00C27EE5"/>
    <w:rsid w:val="00C34A2C"/>
    <w:rsid w:val="00C35100"/>
    <w:rsid w:val="00C420F1"/>
    <w:rsid w:val="00C43415"/>
    <w:rsid w:val="00C449B8"/>
    <w:rsid w:val="00C449C0"/>
    <w:rsid w:val="00C47D70"/>
    <w:rsid w:val="00C50586"/>
    <w:rsid w:val="00C51D51"/>
    <w:rsid w:val="00C51F8B"/>
    <w:rsid w:val="00C6042B"/>
    <w:rsid w:val="00C60DDB"/>
    <w:rsid w:val="00C6409A"/>
    <w:rsid w:val="00C676BF"/>
    <w:rsid w:val="00C70869"/>
    <w:rsid w:val="00C73E18"/>
    <w:rsid w:val="00C75830"/>
    <w:rsid w:val="00C813A7"/>
    <w:rsid w:val="00C8163F"/>
    <w:rsid w:val="00C8179A"/>
    <w:rsid w:val="00C81831"/>
    <w:rsid w:val="00C822A7"/>
    <w:rsid w:val="00C82B3D"/>
    <w:rsid w:val="00C82C1C"/>
    <w:rsid w:val="00C83A3A"/>
    <w:rsid w:val="00C862EB"/>
    <w:rsid w:val="00C8718E"/>
    <w:rsid w:val="00C91609"/>
    <w:rsid w:val="00C92A0C"/>
    <w:rsid w:val="00C94903"/>
    <w:rsid w:val="00C94E2D"/>
    <w:rsid w:val="00C952BD"/>
    <w:rsid w:val="00C961C4"/>
    <w:rsid w:val="00CA282C"/>
    <w:rsid w:val="00CA2F04"/>
    <w:rsid w:val="00CA5102"/>
    <w:rsid w:val="00CB0309"/>
    <w:rsid w:val="00CB0B37"/>
    <w:rsid w:val="00CB144C"/>
    <w:rsid w:val="00CB3E4D"/>
    <w:rsid w:val="00CB5086"/>
    <w:rsid w:val="00CB61C3"/>
    <w:rsid w:val="00CB7353"/>
    <w:rsid w:val="00CC3D27"/>
    <w:rsid w:val="00CC6012"/>
    <w:rsid w:val="00CC7903"/>
    <w:rsid w:val="00CD2493"/>
    <w:rsid w:val="00CD4BE5"/>
    <w:rsid w:val="00CD4E38"/>
    <w:rsid w:val="00CD7E35"/>
    <w:rsid w:val="00CE00BB"/>
    <w:rsid w:val="00CE15EC"/>
    <w:rsid w:val="00CE6732"/>
    <w:rsid w:val="00CE6B7F"/>
    <w:rsid w:val="00CF08C6"/>
    <w:rsid w:val="00CF2C3D"/>
    <w:rsid w:val="00CF3C11"/>
    <w:rsid w:val="00D013C5"/>
    <w:rsid w:val="00D03260"/>
    <w:rsid w:val="00D034ED"/>
    <w:rsid w:val="00D04D90"/>
    <w:rsid w:val="00D11B30"/>
    <w:rsid w:val="00D130BB"/>
    <w:rsid w:val="00D154D6"/>
    <w:rsid w:val="00D15A52"/>
    <w:rsid w:val="00D15BD9"/>
    <w:rsid w:val="00D17F71"/>
    <w:rsid w:val="00D24109"/>
    <w:rsid w:val="00D245F0"/>
    <w:rsid w:val="00D27AF9"/>
    <w:rsid w:val="00D33BAA"/>
    <w:rsid w:val="00D35547"/>
    <w:rsid w:val="00D367D2"/>
    <w:rsid w:val="00D37663"/>
    <w:rsid w:val="00D42675"/>
    <w:rsid w:val="00D43049"/>
    <w:rsid w:val="00D44FBE"/>
    <w:rsid w:val="00D4740B"/>
    <w:rsid w:val="00D515AE"/>
    <w:rsid w:val="00D7773B"/>
    <w:rsid w:val="00D801B3"/>
    <w:rsid w:val="00D86607"/>
    <w:rsid w:val="00D87EE5"/>
    <w:rsid w:val="00DA02C1"/>
    <w:rsid w:val="00DA292E"/>
    <w:rsid w:val="00DA325A"/>
    <w:rsid w:val="00DA6316"/>
    <w:rsid w:val="00DA703D"/>
    <w:rsid w:val="00DB2B56"/>
    <w:rsid w:val="00DB5910"/>
    <w:rsid w:val="00DC23FA"/>
    <w:rsid w:val="00DC29B6"/>
    <w:rsid w:val="00DC2A8C"/>
    <w:rsid w:val="00DC4754"/>
    <w:rsid w:val="00DC5677"/>
    <w:rsid w:val="00DC5D34"/>
    <w:rsid w:val="00DD02A1"/>
    <w:rsid w:val="00DD074E"/>
    <w:rsid w:val="00DE168C"/>
    <w:rsid w:val="00DE419E"/>
    <w:rsid w:val="00DE5FFC"/>
    <w:rsid w:val="00DE6459"/>
    <w:rsid w:val="00DE7C13"/>
    <w:rsid w:val="00DF5A9B"/>
    <w:rsid w:val="00E0424C"/>
    <w:rsid w:val="00E047C9"/>
    <w:rsid w:val="00E04A91"/>
    <w:rsid w:val="00E06009"/>
    <w:rsid w:val="00E0799B"/>
    <w:rsid w:val="00E12C8D"/>
    <w:rsid w:val="00E12E4C"/>
    <w:rsid w:val="00E12F59"/>
    <w:rsid w:val="00E15924"/>
    <w:rsid w:val="00E172CF"/>
    <w:rsid w:val="00E211AB"/>
    <w:rsid w:val="00E219FE"/>
    <w:rsid w:val="00E22648"/>
    <w:rsid w:val="00E237D1"/>
    <w:rsid w:val="00E23A28"/>
    <w:rsid w:val="00E25AE1"/>
    <w:rsid w:val="00E2608A"/>
    <w:rsid w:val="00E27D0E"/>
    <w:rsid w:val="00E30AF8"/>
    <w:rsid w:val="00E33087"/>
    <w:rsid w:val="00E363BC"/>
    <w:rsid w:val="00E37127"/>
    <w:rsid w:val="00E375EA"/>
    <w:rsid w:val="00E41583"/>
    <w:rsid w:val="00E42446"/>
    <w:rsid w:val="00E43198"/>
    <w:rsid w:val="00E43245"/>
    <w:rsid w:val="00E47D22"/>
    <w:rsid w:val="00E51DA8"/>
    <w:rsid w:val="00E5359C"/>
    <w:rsid w:val="00E53C39"/>
    <w:rsid w:val="00E54319"/>
    <w:rsid w:val="00E5515B"/>
    <w:rsid w:val="00E56D8C"/>
    <w:rsid w:val="00E61BB1"/>
    <w:rsid w:val="00E67053"/>
    <w:rsid w:val="00E708E3"/>
    <w:rsid w:val="00E72BF6"/>
    <w:rsid w:val="00E74F5A"/>
    <w:rsid w:val="00E750FC"/>
    <w:rsid w:val="00E838A4"/>
    <w:rsid w:val="00E85513"/>
    <w:rsid w:val="00E86A44"/>
    <w:rsid w:val="00E87B30"/>
    <w:rsid w:val="00E87F79"/>
    <w:rsid w:val="00E9133D"/>
    <w:rsid w:val="00E942DC"/>
    <w:rsid w:val="00E94A30"/>
    <w:rsid w:val="00E94D83"/>
    <w:rsid w:val="00E96957"/>
    <w:rsid w:val="00EA12A8"/>
    <w:rsid w:val="00EA4437"/>
    <w:rsid w:val="00EB09E5"/>
    <w:rsid w:val="00EB4B5D"/>
    <w:rsid w:val="00EB7DF4"/>
    <w:rsid w:val="00EC23B2"/>
    <w:rsid w:val="00EC3CAD"/>
    <w:rsid w:val="00EC6FD8"/>
    <w:rsid w:val="00ED1AD7"/>
    <w:rsid w:val="00ED1D80"/>
    <w:rsid w:val="00ED2E61"/>
    <w:rsid w:val="00EE3F03"/>
    <w:rsid w:val="00EE4A73"/>
    <w:rsid w:val="00EE4AAA"/>
    <w:rsid w:val="00EE5694"/>
    <w:rsid w:val="00EE5891"/>
    <w:rsid w:val="00EE5CC8"/>
    <w:rsid w:val="00EE6AF0"/>
    <w:rsid w:val="00EF3E46"/>
    <w:rsid w:val="00EF48AF"/>
    <w:rsid w:val="00EF6FCD"/>
    <w:rsid w:val="00EF71BD"/>
    <w:rsid w:val="00F00CB2"/>
    <w:rsid w:val="00F020E3"/>
    <w:rsid w:val="00F03D10"/>
    <w:rsid w:val="00F10249"/>
    <w:rsid w:val="00F11946"/>
    <w:rsid w:val="00F14D5E"/>
    <w:rsid w:val="00F15798"/>
    <w:rsid w:val="00F15A9D"/>
    <w:rsid w:val="00F2033C"/>
    <w:rsid w:val="00F23C7F"/>
    <w:rsid w:val="00F248D9"/>
    <w:rsid w:val="00F2517E"/>
    <w:rsid w:val="00F2535F"/>
    <w:rsid w:val="00F2554E"/>
    <w:rsid w:val="00F307D1"/>
    <w:rsid w:val="00F30E1F"/>
    <w:rsid w:val="00F313F2"/>
    <w:rsid w:val="00F3186D"/>
    <w:rsid w:val="00F31AD2"/>
    <w:rsid w:val="00F32826"/>
    <w:rsid w:val="00F340A4"/>
    <w:rsid w:val="00F37EA3"/>
    <w:rsid w:val="00F40010"/>
    <w:rsid w:val="00F41D8E"/>
    <w:rsid w:val="00F41E95"/>
    <w:rsid w:val="00F47420"/>
    <w:rsid w:val="00F52753"/>
    <w:rsid w:val="00F54523"/>
    <w:rsid w:val="00F55130"/>
    <w:rsid w:val="00F552C2"/>
    <w:rsid w:val="00F63728"/>
    <w:rsid w:val="00F7030A"/>
    <w:rsid w:val="00F72DCA"/>
    <w:rsid w:val="00F743E2"/>
    <w:rsid w:val="00F76BF5"/>
    <w:rsid w:val="00F775EF"/>
    <w:rsid w:val="00F82D63"/>
    <w:rsid w:val="00F85368"/>
    <w:rsid w:val="00F855BC"/>
    <w:rsid w:val="00F86B6C"/>
    <w:rsid w:val="00F90B4B"/>
    <w:rsid w:val="00F919F3"/>
    <w:rsid w:val="00F93D52"/>
    <w:rsid w:val="00FA0490"/>
    <w:rsid w:val="00FA1EFB"/>
    <w:rsid w:val="00FA547E"/>
    <w:rsid w:val="00FA5668"/>
    <w:rsid w:val="00FA64CF"/>
    <w:rsid w:val="00FA7CB4"/>
    <w:rsid w:val="00FB45F3"/>
    <w:rsid w:val="00FB4BFB"/>
    <w:rsid w:val="00FB6FB0"/>
    <w:rsid w:val="00FC27A9"/>
    <w:rsid w:val="00FC58F6"/>
    <w:rsid w:val="00FD1BDA"/>
    <w:rsid w:val="00FD2B00"/>
    <w:rsid w:val="00FD30EF"/>
    <w:rsid w:val="00FD3DA3"/>
    <w:rsid w:val="00FD4371"/>
    <w:rsid w:val="00FD4797"/>
    <w:rsid w:val="00FE2209"/>
    <w:rsid w:val="00FE336F"/>
    <w:rsid w:val="00FE338B"/>
    <w:rsid w:val="00FE4AB2"/>
    <w:rsid w:val="00FF0183"/>
    <w:rsid w:val="00FF0A41"/>
    <w:rsid w:val="00FF4990"/>
    <w:rsid w:val="00FF54C0"/>
    <w:rsid w:val="00FF55AF"/>
    <w:rsid w:val="01806305"/>
    <w:rsid w:val="01846F0A"/>
    <w:rsid w:val="03032BFE"/>
    <w:rsid w:val="03720CB3"/>
    <w:rsid w:val="040E1D2C"/>
    <w:rsid w:val="079125E8"/>
    <w:rsid w:val="09C82453"/>
    <w:rsid w:val="0A3C09AB"/>
    <w:rsid w:val="0AA8200A"/>
    <w:rsid w:val="0E4F28EB"/>
    <w:rsid w:val="0EDB3219"/>
    <w:rsid w:val="0F0D7CC0"/>
    <w:rsid w:val="12313CE5"/>
    <w:rsid w:val="130C274F"/>
    <w:rsid w:val="130F58D2"/>
    <w:rsid w:val="143C08C2"/>
    <w:rsid w:val="176D527D"/>
    <w:rsid w:val="19DE26FD"/>
    <w:rsid w:val="1A2211D0"/>
    <w:rsid w:val="1A221EEC"/>
    <w:rsid w:val="1CB3747E"/>
    <w:rsid w:val="1E2363D0"/>
    <w:rsid w:val="1EA64BD4"/>
    <w:rsid w:val="20EE3814"/>
    <w:rsid w:val="216A5E2A"/>
    <w:rsid w:val="21733A6D"/>
    <w:rsid w:val="22F0425E"/>
    <w:rsid w:val="236D70AB"/>
    <w:rsid w:val="23D90451"/>
    <w:rsid w:val="24FC68BD"/>
    <w:rsid w:val="250174C1"/>
    <w:rsid w:val="25644FE8"/>
    <w:rsid w:val="26197F8E"/>
    <w:rsid w:val="263F494B"/>
    <w:rsid w:val="26831BBC"/>
    <w:rsid w:val="2A9D2C76"/>
    <w:rsid w:val="2B4A4093"/>
    <w:rsid w:val="2C8D1227"/>
    <w:rsid w:val="2CC57CC7"/>
    <w:rsid w:val="2CD974D8"/>
    <w:rsid w:val="2CEF7FC7"/>
    <w:rsid w:val="2E945BD4"/>
    <w:rsid w:val="2FCB0375"/>
    <w:rsid w:val="30010853"/>
    <w:rsid w:val="30151C0A"/>
    <w:rsid w:val="31A16D9A"/>
    <w:rsid w:val="320A735E"/>
    <w:rsid w:val="3241127D"/>
    <w:rsid w:val="328170A3"/>
    <w:rsid w:val="33540C46"/>
    <w:rsid w:val="33964B3D"/>
    <w:rsid w:val="3473429E"/>
    <w:rsid w:val="361529C8"/>
    <w:rsid w:val="36CE3116"/>
    <w:rsid w:val="38526A7D"/>
    <w:rsid w:val="38802E42"/>
    <w:rsid w:val="388D4A71"/>
    <w:rsid w:val="39AD47AD"/>
    <w:rsid w:val="3FA90630"/>
    <w:rsid w:val="400A259E"/>
    <w:rsid w:val="40F03B15"/>
    <w:rsid w:val="42B62CF4"/>
    <w:rsid w:val="44D324F7"/>
    <w:rsid w:val="44F32A2B"/>
    <w:rsid w:val="45AA0F3A"/>
    <w:rsid w:val="48B569F8"/>
    <w:rsid w:val="48E716A7"/>
    <w:rsid w:val="49384F64"/>
    <w:rsid w:val="4A693DA2"/>
    <w:rsid w:val="4B0845C8"/>
    <w:rsid w:val="4CE2572F"/>
    <w:rsid w:val="4F3F6893"/>
    <w:rsid w:val="4FDB78CA"/>
    <w:rsid w:val="50BD322C"/>
    <w:rsid w:val="5265033A"/>
    <w:rsid w:val="52DE4780"/>
    <w:rsid w:val="53902026"/>
    <w:rsid w:val="53AF7057"/>
    <w:rsid w:val="54005B5D"/>
    <w:rsid w:val="56802E2C"/>
    <w:rsid w:val="59976020"/>
    <w:rsid w:val="59A61C20"/>
    <w:rsid w:val="59F00D9B"/>
    <w:rsid w:val="5A571A44"/>
    <w:rsid w:val="5A844F7F"/>
    <w:rsid w:val="5AB96265"/>
    <w:rsid w:val="5AC210F3"/>
    <w:rsid w:val="5B94144C"/>
    <w:rsid w:val="5CDE0169"/>
    <w:rsid w:val="5E68756F"/>
    <w:rsid w:val="5E737694"/>
    <w:rsid w:val="5EA64828"/>
    <w:rsid w:val="5EDB4A2D"/>
    <w:rsid w:val="5FEE32EF"/>
    <w:rsid w:val="625E5672"/>
    <w:rsid w:val="63A41CC4"/>
    <w:rsid w:val="657F0712"/>
    <w:rsid w:val="65A2414A"/>
    <w:rsid w:val="665B4B59"/>
    <w:rsid w:val="667444A2"/>
    <w:rsid w:val="67B053DB"/>
    <w:rsid w:val="680229AF"/>
    <w:rsid w:val="6C3225AA"/>
    <w:rsid w:val="6C4526AF"/>
    <w:rsid w:val="6C5B2654"/>
    <w:rsid w:val="6F83507F"/>
    <w:rsid w:val="705A50E3"/>
    <w:rsid w:val="725A00AC"/>
    <w:rsid w:val="738520BE"/>
    <w:rsid w:val="738C0573"/>
    <w:rsid w:val="779437BB"/>
    <w:rsid w:val="785C062C"/>
    <w:rsid w:val="79FA3F2A"/>
    <w:rsid w:val="7ABA5205"/>
    <w:rsid w:val="7BF91471"/>
    <w:rsid w:val="7D59798C"/>
    <w:rsid w:val="7D707D59"/>
    <w:rsid w:val="7DC670AE"/>
    <w:rsid w:val="7FAA34A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iPriority="0" w:name="Body Text First Indent 2"/>
    <w:lsdException w:uiPriority="0" w:name="Note Heading"/>
    <w:lsdException w:qFormat="1" w:unhideWhenUsed="0" w:uiPriority="0" w:semiHidden="0" w:name="Body Text 2"/>
    <w:lsdException w:uiPriority="0" w:name="Body Text 3"/>
    <w:lsdException w:qFormat="1" w:unhideWhenUsed="0" w:uiPriority="0" w:semiHidden="0" w:name="Body Text Indent 2"/>
    <w:lsdException w:uiPriority="0" w:name="Body Text Indent 3"/>
    <w:lsdException w:uiPriority="0" w:name="Block Text"/>
    <w:lsdException w:qFormat="1" w:unhideWhenUsed="0" w:uiPriority="99" w:semiHidden="0" w:name="Hyperlink"/>
    <w:lsdException w:uiPriority="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312" w:lineRule="atLeast"/>
      <w:jc w:val="both"/>
      <w:textAlignment w:val="baseline"/>
    </w:pPr>
    <w:rPr>
      <w:rFonts w:ascii="Times New Roman" w:hAnsi="Times New Roman" w:eastAsia="宋体" w:cs="Times New Roman"/>
      <w:sz w:val="21"/>
      <w:lang w:val="en-US" w:eastAsia="zh-CN" w:bidi="ar-SA"/>
    </w:rPr>
  </w:style>
  <w:style w:type="paragraph" w:styleId="2">
    <w:name w:val="heading 1"/>
    <w:basedOn w:val="1"/>
    <w:next w:val="1"/>
    <w:link w:val="29"/>
    <w:qFormat/>
    <w:uiPriority w:val="0"/>
    <w:pPr>
      <w:keepNext/>
      <w:keepLines/>
      <w:spacing w:before="340" w:after="330" w:line="578" w:lineRule="atLeast"/>
      <w:outlineLvl w:val="0"/>
    </w:pPr>
    <w:rPr>
      <w:b/>
      <w:bCs/>
      <w:kern w:val="44"/>
      <w:sz w:val="44"/>
      <w:szCs w:val="44"/>
    </w:rPr>
  </w:style>
  <w:style w:type="paragraph" w:styleId="3">
    <w:name w:val="heading 2"/>
    <w:basedOn w:val="1"/>
    <w:next w:val="1"/>
    <w:link w:val="31"/>
    <w:qFormat/>
    <w:uiPriority w:val="0"/>
    <w:pPr>
      <w:keepNext/>
      <w:keepLines/>
      <w:spacing w:before="260" w:after="260" w:line="416" w:lineRule="atLeast"/>
      <w:outlineLvl w:val="1"/>
    </w:pPr>
    <w:rPr>
      <w:rFonts w:ascii="Arial" w:hAnsi="Arial" w:eastAsia="黑体"/>
      <w:b/>
      <w:bCs/>
      <w:sz w:val="32"/>
      <w:szCs w:val="32"/>
    </w:rPr>
  </w:style>
  <w:style w:type="paragraph" w:styleId="4">
    <w:name w:val="heading 3"/>
    <w:basedOn w:val="1"/>
    <w:next w:val="1"/>
    <w:link w:val="32"/>
    <w:qFormat/>
    <w:uiPriority w:val="0"/>
    <w:pPr>
      <w:keepNext/>
      <w:keepLines/>
      <w:spacing w:before="260" w:after="260" w:line="416" w:lineRule="atLeast"/>
      <w:outlineLvl w:val="2"/>
    </w:pPr>
    <w:rPr>
      <w:b/>
      <w:bCs/>
      <w:sz w:val="32"/>
      <w:szCs w:val="32"/>
    </w:rPr>
  </w:style>
  <w:style w:type="paragraph" w:styleId="5">
    <w:name w:val="heading 4"/>
    <w:basedOn w:val="1"/>
    <w:next w:val="1"/>
    <w:qFormat/>
    <w:uiPriority w:val="0"/>
    <w:pPr>
      <w:keepNext/>
      <w:keepLines/>
      <w:spacing w:before="280" w:after="290" w:line="376" w:lineRule="atLeast"/>
      <w:outlineLvl w:val="3"/>
    </w:pPr>
    <w:rPr>
      <w:rFonts w:ascii="Arial" w:hAnsi="Arial" w:eastAsia="黑体"/>
      <w:b/>
      <w:bCs/>
      <w:sz w:val="28"/>
      <w:szCs w:val="28"/>
    </w:rPr>
  </w:style>
  <w:style w:type="paragraph" w:styleId="6">
    <w:name w:val="heading 5"/>
    <w:basedOn w:val="1"/>
    <w:next w:val="1"/>
    <w:qFormat/>
    <w:uiPriority w:val="0"/>
    <w:pPr>
      <w:keepNext/>
      <w:keepLines/>
      <w:spacing w:before="280" w:after="290" w:line="376" w:lineRule="atLeast"/>
      <w:outlineLvl w:val="4"/>
    </w:pPr>
    <w:rPr>
      <w:b/>
      <w:bCs/>
      <w:sz w:val="28"/>
      <w:szCs w:val="28"/>
    </w:rPr>
  </w:style>
  <w:style w:type="character" w:default="1" w:styleId="24">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7">
    <w:name w:val="Normal Indent"/>
    <w:basedOn w:val="1"/>
    <w:qFormat/>
    <w:uiPriority w:val="0"/>
    <w:pPr>
      <w:tabs>
        <w:tab w:val="left" w:pos="-840"/>
      </w:tabs>
      <w:spacing w:line="240" w:lineRule="auto"/>
      <w:ind w:left="210" w:leftChars="100" w:right="-330" w:rightChars="-330" w:firstLine="420" w:firstLineChars="200"/>
      <w:jc w:val="center"/>
      <w:textAlignment w:val="auto"/>
    </w:pPr>
    <w:rPr>
      <w:rFonts w:ascii="黑体" w:hAnsi="宋体" w:eastAsia="黑体"/>
      <w:color w:val="000000"/>
      <w:kern w:val="2"/>
    </w:rPr>
  </w:style>
  <w:style w:type="paragraph" w:styleId="8">
    <w:name w:val="Document Map"/>
    <w:basedOn w:val="1"/>
    <w:link w:val="69"/>
    <w:qFormat/>
    <w:uiPriority w:val="0"/>
    <w:rPr>
      <w:rFonts w:ascii="宋体"/>
      <w:sz w:val="18"/>
      <w:szCs w:val="18"/>
    </w:rPr>
  </w:style>
  <w:style w:type="paragraph" w:styleId="9">
    <w:name w:val="annotation text"/>
    <w:basedOn w:val="1"/>
    <w:semiHidden/>
    <w:unhideWhenUsed/>
    <w:qFormat/>
    <w:uiPriority w:val="0"/>
    <w:pPr>
      <w:jc w:val="left"/>
    </w:pPr>
  </w:style>
  <w:style w:type="paragraph" w:styleId="10">
    <w:name w:val="Body Text"/>
    <w:basedOn w:val="1"/>
    <w:qFormat/>
    <w:uiPriority w:val="0"/>
    <w:pPr>
      <w:adjustRightInd/>
      <w:spacing w:line="240" w:lineRule="auto"/>
      <w:jc w:val="center"/>
      <w:textAlignment w:val="auto"/>
    </w:pPr>
    <w:rPr>
      <w:rFonts w:ascii="宋体"/>
      <w:kern w:val="2"/>
      <w:sz w:val="28"/>
    </w:rPr>
  </w:style>
  <w:style w:type="paragraph" w:styleId="11">
    <w:name w:val="Body Text Indent"/>
    <w:basedOn w:val="1"/>
    <w:qFormat/>
    <w:uiPriority w:val="0"/>
    <w:pPr>
      <w:spacing w:after="120"/>
      <w:ind w:left="420" w:leftChars="200"/>
    </w:pPr>
  </w:style>
  <w:style w:type="paragraph" w:styleId="12">
    <w:name w:val="toc 3"/>
    <w:basedOn w:val="1"/>
    <w:next w:val="1"/>
    <w:semiHidden/>
    <w:qFormat/>
    <w:uiPriority w:val="0"/>
    <w:pPr>
      <w:ind w:left="840" w:leftChars="400"/>
    </w:pPr>
  </w:style>
  <w:style w:type="paragraph" w:styleId="13">
    <w:name w:val="Plain Text"/>
    <w:basedOn w:val="1"/>
    <w:qFormat/>
    <w:uiPriority w:val="0"/>
    <w:pPr>
      <w:autoSpaceDE w:val="0"/>
      <w:autoSpaceDN w:val="0"/>
      <w:ind w:firstLine="567"/>
      <w:textAlignment w:val="auto"/>
    </w:pPr>
    <w:rPr>
      <w:rFonts w:hint="eastAsia" w:ascii="仿宋_GB2312" w:eastAsia="仿宋_GB2312"/>
      <w:sz w:val="28"/>
    </w:rPr>
  </w:style>
  <w:style w:type="paragraph" w:styleId="14">
    <w:name w:val="Date"/>
    <w:basedOn w:val="1"/>
    <w:next w:val="1"/>
    <w:qFormat/>
    <w:uiPriority w:val="0"/>
    <w:pPr>
      <w:ind w:left="100" w:leftChars="2500"/>
    </w:pPr>
    <w:rPr>
      <w:sz w:val="28"/>
    </w:rPr>
  </w:style>
  <w:style w:type="paragraph" w:styleId="15">
    <w:name w:val="Body Text Indent 2"/>
    <w:basedOn w:val="1"/>
    <w:qFormat/>
    <w:uiPriority w:val="0"/>
    <w:pPr>
      <w:spacing w:after="120" w:line="480" w:lineRule="auto"/>
      <w:ind w:left="420" w:leftChars="200"/>
    </w:pPr>
  </w:style>
  <w:style w:type="paragraph" w:styleId="16">
    <w:name w:val="Balloon Text"/>
    <w:basedOn w:val="1"/>
    <w:semiHidden/>
    <w:qFormat/>
    <w:uiPriority w:val="0"/>
    <w:rPr>
      <w:sz w:val="18"/>
      <w:szCs w:val="18"/>
    </w:rPr>
  </w:style>
  <w:style w:type="paragraph" w:styleId="17">
    <w:name w:val="footer"/>
    <w:basedOn w:val="1"/>
    <w:qFormat/>
    <w:uiPriority w:val="0"/>
    <w:pPr>
      <w:tabs>
        <w:tab w:val="center" w:pos="4153"/>
        <w:tab w:val="right" w:pos="8306"/>
      </w:tabs>
      <w:snapToGrid w:val="0"/>
      <w:spacing w:line="240" w:lineRule="atLeast"/>
      <w:jc w:val="left"/>
    </w:pPr>
    <w:rPr>
      <w:sz w:val="18"/>
    </w:rPr>
  </w:style>
  <w:style w:type="paragraph" w:styleId="18">
    <w:name w:val="header"/>
    <w:basedOn w:val="1"/>
    <w:qFormat/>
    <w:uiPriority w:val="0"/>
    <w:pPr>
      <w:pBdr>
        <w:bottom w:val="single" w:color="auto" w:sz="6" w:space="1"/>
      </w:pBdr>
      <w:tabs>
        <w:tab w:val="center" w:pos="4153"/>
        <w:tab w:val="right" w:pos="8306"/>
      </w:tabs>
      <w:snapToGrid w:val="0"/>
      <w:spacing w:line="240" w:lineRule="atLeast"/>
      <w:jc w:val="center"/>
    </w:pPr>
    <w:rPr>
      <w:sz w:val="18"/>
    </w:rPr>
  </w:style>
  <w:style w:type="paragraph" w:styleId="19">
    <w:name w:val="toc 1"/>
    <w:basedOn w:val="1"/>
    <w:next w:val="1"/>
    <w:qFormat/>
    <w:uiPriority w:val="39"/>
  </w:style>
  <w:style w:type="paragraph" w:styleId="20">
    <w:name w:val="toc 2"/>
    <w:basedOn w:val="1"/>
    <w:next w:val="1"/>
    <w:qFormat/>
    <w:uiPriority w:val="39"/>
    <w:pPr>
      <w:ind w:left="420" w:leftChars="200"/>
    </w:pPr>
  </w:style>
  <w:style w:type="paragraph" w:styleId="21">
    <w:name w:val="Body Text 2"/>
    <w:basedOn w:val="1"/>
    <w:qFormat/>
    <w:uiPriority w:val="0"/>
    <w:pPr>
      <w:spacing w:after="120" w:line="480" w:lineRule="auto"/>
    </w:pPr>
  </w:style>
  <w:style w:type="table" w:styleId="23">
    <w:name w:val="Table Grid"/>
    <w:basedOn w:val="2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page number"/>
    <w:basedOn w:val="24"/>
    <w:qFormat/>
    <w:uiPriority w:val="0"/>
  </w:style>
  <w:style w:type="character" w:styleId="26">
    <w:name w:val="Hyperlink"/>
    <w:basedOn w:val="24"/>
    <w:qFormat/>
    <w:uiPriority w:val="99"/>
    <w:rPr>
      <w:color w:val="0000FF"/>
      <w:u w:val="single"/>
    </w:rPr>
  </w:style>
  <w:style w:type="character" w:styleId="27">
    <w:name w:val="annotation reference"/>
    <w:basedOn w:val="24"/>
    <w:semiHidden/>
    <w:unhideWhenUsed/>
    <w:qFormat/>
    <w:uiPriority w:val="0"/>
    <w:rPr>
      <w:sz w:val="21"/>
      <w:szCs w:val="21"/>
    </w:rPr>
  </w:style>
  <w:style w:type="character" w:customStyle="1" w:styleId="28">
    <w:name w:val="标题 1 Char"/>
    <w:basedOn w:val="24"/>
    <w:qFormat/>
    <w:uiPriority w:val="0"/>
    <w:rPr>
      <w:rFonts w:ascii="宋体" w:hAnsi="宋体" w:eastAsia="宋体"/>
      <w:bCs/>
      <w:sz w:val="30"/>
      <w:szCs w:val="28"/>
      <w:lang w:val="en-US" w:eastAsia="zh-CN" w:bidi="ar-SA"/>
    </w:rPr>
  </w:style>
  <w:style w:type="character" w:customStyle="1" w:styleId="29">
    <w:name w:val="标题 1 字符"/>
    <w:basedOn w:val="24"/>
    <w:link w:val="2"/>
    <w:qFormat/>
    <w:uiPriority w:val="0"/>
    <w:rPr>
      <w:rFonts w:eastAsia="宋体"/>
      <w:b/>
      <w:bCs/>
      <w:kern w:val="44"/>
      <w:sz w:val="44"/>
      <w:szCs w:val="44"/>
      <w:lang w:val="en-US" w:eastAsia="zh-CN" w:bidi="ar-SA"/>
    </w:rPr>
  </w:style>
  <w:style w:type="paragraph" w:customStyle="1" w:styleId="30">
    <w:name w:val="默认段落字体 Para Char Char Char Char Char Char Char Char Char Char Char Char Char"/>
    <w:basedOn w:val="1"/>
    <w:semiHidden/>
    <w:qFormat/>
    <w:uiPriority w:val="0"/>
    <w:pPr>
      <w:tabs>
        <w:tab w:val="left" w:pos="650"/>
        <w:tab w:val="left" w:pos="900"/>
      </w:tabs>
      <w:snapToGrid w:val="0"/>
      <w:spacing w:line="360" w:lineRule="auto"/>
      <w:jc w:val="left"/>
      <w:textAlignment w:val="auto"/>
    </w:pPr>
    <w:rPr>
      <w:rFonts w:ascii="宋体" w:hAnsi="宋体"/>
      <w:b/>
      <w:bCs/>
      <w:snapToGrid w:val="0"/>
      <w:sz w:val="24"/>
      <w:szCs w:val="24"/>
    </w:rPr>
  </w:style>
  <w:style w:type="character" w:customStyle="1" w:styleId="31">
    <w:name w:val="标题 2 字符"/>
    <w:basedOn w:val="24"/>
    <w:link w:val="3"/>
    <w:qFormat/>
    <w:uiPriority w:val="0"/>
    <w:rPr>
      <w:rFonts w:ascii="Arial" w:hAnsi="Arial" w:eastAsia="黑体"/>
      <w:b/>
      <w:bCs/>
      <w:sz w:val="32"/>
      <w:szCs w:val="32"/>
      <w:lang w:val="en-US" w:eastAsia="zh-CN" w:bidi="ar-SA"/>
    </w:rPr>
  </w:style>
  <w:style w:type="character" w:customStyle="1" w:styleId="32">
    <w:name w:val="标题 3 字符"/>
    <w:basedOn w:val="24"/>
    <w:link w:val="4"/>
    <w:qFormat/>
    <w:uiPriority w:val="0"/>
    <w:rPr>
      <w:rFonts w:eastAsia="宋体"/>
      <w:b/>
      <w:bCs/>
      <w:sz w:val="32"/>
      <w:szCs w:val="32"/>
      <w:lang w:val="en-US" w:eastAsia="zh-CN" w:bidi="ar-SA"/>
    </w:rPr>
  </w:style>
  <w:style w:type="paragraph" w:customStyle="1" w:styleId="33">
    <w:name w:val="纯文本1"/>
    <w:basedOn w:val="1"/>
    <w:link w:val="34"/>
    <w:qFormat/>
    <w:uiPriority w:val="0"/>
    <w:pPr>
      <w:spacing w:line="240" w:lineRule="auto"/>
    </w:pPr>
    <w:rPr>
      <w:kern w:val="2"/>
    </w:rPr>
  </w:style>
  <w:style w:type="character" w:customStyle="1" w:styleId="34">
    <w:name w:val="Plain Text Char"/>
    <w:basedOn w:val="24"/>
    <w:link w:val="33"/>
    <w:qFormat/>
    <w:uiPriority w:val="0"/>
    <w:rPr>
      <w:rFonts w:eastAsia="宋体"/>
      <w:kern w:val="2"/>
      <w:sz w:val="21"/>
      <w:lang w:val="en-US" w:eastAsia="zh-CN" w:bidi="ar-SA"/>
    </w:rPr>
  </w:style>
  <w:style w:type="paragraph" w:customStyle="1" w:styleId="35">
    <w:name w:val="Char"/>
    <w:basedOn w:val="1"/>
    <w:qFormat/>
    <w:uiPriority w:val="0"/>
    <w:pPr>
      <w:adjustRightInd/>
      <w:spacing w:line="240" w:lineRule="auto"/>
      <w:textAlignment w:val="auto"/>
    </w:pPr>
    <w:rPr>
      <w:kern w:val="2"/>
      <w:szCs w:val="24"/>
    </w:rPr>
  </w:style>
  <w:style w:type="paragraph" w:customStyle="1" w:styleId="36">
    <w:name w:val="报告标题"/>
    <w:basedOn w:val="1"/>
    <w:qFormat/>
    <w:uiPriority w:val="0"/>
    <w:pPr>
      <w:adjustRightInd/>
      <w:spacing w:line="400" w:lineRule="exact"/>
      <w:ind w:firstLine="200" w:firstLineChars="200"/>
      <w:jc w:val="center"/>
      <w:textAlignment w:val="auto"/>
    </w:pPr>
    <w:rPr>
      <w:rFonts w:ascii="宋体" w:hAnsi="宋体" w:eastAsia="黑体"/>
      <w:kern w:val="2"/>
      <w:sz w:val="52"/>
    </w:rPr>
  </w:style>
  <w:style w:type="paragraph" w:customStyle="1" w:styleId="37">
    <w:name w:val="Char Char Char Char Char Char Char Char Char Char Char Char Char Char Char Char Char Char Char Char Char Char Char Char"/>
    <w:basedOn w:val="1"/>
    <w:qFormat/>
    <w:uiPriority w:val="0"/>
    <w:pPr>
      <w:adjustRightInd/>
      <w:spacing w:line="240" w:lineRule="auto"/>
      <w:textAlignment w:val="auto"/>
    </w:pPr>
    <w:rPr>
      <w:kern w:val="2"/>
      <w:szCs w:val="24"/>
    </w:rPr>
  </w:style>
  <w:style w:type="paragraph" w:customStyle="1" w:styleId="38">
    <w:name w:val="正文缩进(正文内容)"/>
    <w:basedOn w:val="1"/>
    <w:link w:val="43"/>
    <w:qFormat/>
    <w:uiPriority w:val="0"/>
    <w:pPr>
      <w:widowControl/>
      <w:adjustRightInd/>
      <w:snapToGrid w:val="0"/>
      <w:spacing w:line="400" w:lineRule="exact"/>
      <w:ind w:firstLine="200" w:firstLineChars="200"/>
      <w:textAlignment w:val="auto"/>
    </w:pPr>
    <w:rPr>
      <w:rFonts w:ascii="宋体" w:hAnsi="宋体"/>
      <w:kern w:val="2"/>
      <w:sz w:val="24"/>
    </w:rPr>
  </w:style>
  <w:style w:type="paragraph" w:customStyle="1" w:styleId="39">
    <w:name w:val="Char Char"/>
    <w:basedOn w:val="1"/>
    <w:qFormat/>
    <w:uiPriority w:val="0"/>
    <w:pPr>
      <w:adjustRightInd/>
      <w:spacing w:line="240" w:lineRule="auto"/>
      <w:textAlignment w:val="auto"/>
    </w:pPr>
    <w:rPr>
      <w:kern w:val="2"/>
      <w:szCs w:val="24"/>
    </w:rPr>
  </w:style>
  <w:style w:type="paragraph" w:customStyle="1" w:styleId="40">
    <w:name w:val="Char Char Char Char Char Char Char Char Char1 Char Char Char Char"/>
    <w:basedOn w:val="1"/>
    <w:qFormat/>
    <w:uiPriority w:val="0"/>
    <w:pPr>
      <w:adjustRightInd/>
      <w:spacing w:line="240" w:lineRule="auto"/>
      <w:textAlignment w:val="auto"/>
    </w:pPr>
    <w:rPr>
      <w:kern w:val="2"/>
      <w:szCs w:val="24"/>
    </w:rPr>
  </w:style>
  <w:style w:type="paragraph" w:customStyle="1" w:styleId="41">
    <w:name w:val="Char Char Char Char Char Char Char Char Char Char"/>
    <w:basedOn w:val="1"/>
    <w:qFormat/>
    <w:uiPriority w:val="0"/>
    <w:pPr>
      <w:adjustRightInd/>
      <w:spacing w:line="240" w:lineRule="auto"/>
      <w:textAlignment w:val="auto"/>
    </w:pPr>
    <w:rPr>
      <w:kern w:val="2"/>
      <w:szCs w:val="24"/>
    </w:rPr>
  </w:style>
  <w:style w:type="paragraph" w:customStyle="1" w:styleId="42">
    <w:name w:val="样式7"/>
    <w:basedOn w:val="1"/>
    <w:qFormat/>
    <w:uiPriority w:val="0"/>
    <w:pPr>
      <w:snapToGrid w:val="0"/>
      <w:spacing w:line="480" w:lineRule="exact"/>
      <w:ind w:firstLine="480" w:firstLineChars="200"/>
      <w:textAlignment w:val="auto"/>
    </w:pPr>
    <w:rPr>
      <w:rFonts w:ascii="宋体"/>
      <w:b/>
      <w:bCs/>
      <w:color w:val="000000"/>
      <w:kern w:val="2"/>
      <w:sz w:val="24"/>
    </w:rPr>
  </w:style>
  <w:style w:type="character" w:customStyle="1" w:styleId="43">
    <w:name w:val="正文缩进(正文内容) Char1"/>
    <w:basedOn w:val="24"/>
    <w:link w:val="38"/>
    <w:qFormat/>
    <w:uiPriority w:val="0"/>
    <w:rPr>
      <w:rFonts w:ascii="宋体" w:hAnsi="宋体" w:eastAsia="宋体"/>
      <w:kern w:val="2"/>
      <w:sz w:val="24"/>
      <w:lang w:val="en-US" w:eastAsia="zh-CN" w:bidi="ar-SA"/>
    </w:rPr>
  </w:style>
  <w:style w:type="paragraph" w:customStyle="1" w:styleId="44">
    <w:name w:val="Char Char Char Char"/>
    <w:basedOn w:val="1"/>
    <w:qFormat/>
    <w:uiPriority w:val="0"/>
    <w:pPr>
      <w:adjustRightInd/>
      <w:spacing w:line="240" w:lineRule="auto"/>
      <w:textAlignment w:val="auto"/>
    </w:pPr>
    <w:rPr>
      <w:kern w:val="2"/>
    </w:rPr>
  </w:style>
  <w:style w:type="paragraph" w:customStyle="1" w:styleId="45">
    <w:name w:val="Default Text"/>
    <w:basedOn w:val="1"/>
    <w:qFormat/>
    <w:uiPriority w:val="0"/>
    <w:pPr>
      <w:widowControl/>
      <w:overflowPunct w:val="0"/>
      <w:autoSpaceDE w:val="0"/>
      <w:autoSpaceDN w:val="0"/>
      <w:spacing w:line="240" w:lineRule="auto"/>
      <w:jc w:val="left"/>
    </w:pPr>
    <w:rPr>
      <w:rFonts w:ascii="ËÎÌå" w:hAnsi="ËÎÌå"/>
      <w:sz w:val="24"/>
    </w:rPr>
  </w:style>
  <w:style w:type="paragraph" w:customStyle="1" w:styleId="46">
    <w:name w:val="Char Char Char1 Char Char Char Char"/>
    <w:basedOn w:val="1"/>
    <w:qFormat/>
    <w:uiPriority w:val="0"/>
    <w:pPr>
      <w:adjustRightInd/>
      <w:spacing w:line="240" w:lineRule="auto"/>
      <w:textAlignment w:val="auto"/>
    </w:pPr>
    <w:rPr>
      <w:kern w:val="2"/>
      <w:szCs w:val="24"/>
    </w:rPr>
  </w:style>
  <w:style w:type="paragraph" w:customStyle="1" w:styleId="47">
    <w:name w:val="Char Char Char Char Char Char Char Char Char Char1"/>
    <w:basedOn w:val="1"/>
    <w:qFormat/>
    <w:uiPriority w:val="0"/>
    <w:pPr>
      <w:adjustRightInd/>
      <w:spacing w:line="240" w:lineRule="auto"/>
      <w:textAlignment w:val="auto"/>
    </w:pPr>
    <w:rPr>
      <w:kern w:val="2"/>
      <w:szCs w:val="24"/>
    </w:rPr>
  </w:style>
  <w:style w:type="paragraph" w:customStyle="1" w:styleId="48">
    <w:name w:val="正文-段落"/>
    <w:basedOn w:val="1"/>
    <w:next w:val="1"/>
    <w:link w:val="49"/>
    <w:qFormat/>
    <w:uiPriority w:val="0"/>
    <w:pPr>
      <w:adjustRightInd/>
      <w:spacing w:line="400" w:lineRule="exact"/>
      <w:ind w:firstLine="482"/>
      <w:textAlignment w:val="auto"/>
    </w:pPr>
    <w:rPr>
      <w:rFonts w:cs="宋体"/>
      <w:kern w:val="2"/>
      <w:sz w:val="24"/>
      <w:szCs w:val="24"/>
    </w:rPr>
  </w:style>
  <w:style w:type="character" w:customStyle="1" w:styleId="49">
    <w:name w:val="正文-段落 Char Char"/>
    <w:basedOn w:val="24"/>
    <w:link w:val="48"/>
    <w:qFormat/>
    <w:uiPriority w:val="0"/>
    <w:rPr>
      <w:rFonts w:eastAsia="宋体" w:cs="宋体"/>
      <w:kern w:val="2"/>
      <w:sz w:val="24"/>
      <w:szCs w:val="24"/>
      <w:lang w:val="en-US" w:eastAsia="zh-CN" w:bidi="ar-SA"/>
    </w:rPr>
  </w:style>
  <w:style w:type="paragraph" w:customStyle="1" w:styleId="50">
    <w:name w:val="样式 首行缩进:  2 字符"/>
    <w:basedOn w:val="1"/>
    <w:qFormat/>
    <w:uiPriority w:val="0"/>
    <w:pPr>
      <w:adjustRightInd/>
      <w:snapToGrid w:val="0"/>
      <w:spacing w:line="500" w:lineRule="exact"/>
      <w:ind w:firstLine="480" w:firstLineChars="200"/>
      <w:textAlignment w:val="auto"/>
    </w:pPr>
    <w:rPr>
      <w:kern w:val="2"/>
      <w:sz w:val="24"/>
      <w:szCs w:val="21"/>
    </w:rPr>
  </w:style>
  <w:style w:type="paragraph" w:customStyle="1" w:styleId="51">
    <w:name w:val="中石化正文"/>
    <w:qFormat/>
    <w:uiPriority w:val="0"/>
    <w:pPr>
      <w:spacing w:line="400" w:lineRule="exact"/>
      <w:ind w:firstLine="200" w:firstLineChars="200"/>
    </w:pPr>
    <w:rPr>
      <w:rFonts w:ascii="宋体" w:hAnsi="宋体" w:eastAsia="宋体" w:cs="Times New Roman"/>
      <w:sz w:val="24"/>
      <w:lang w:val="en-US" w:eastAsia="zh-CN" w:bidi="ar-SA"/>
    </w:rPr>
  </w:style>
  <w:style w:type="paragraph" w:customStyle="1" w:styleId="52">
    <w:name w:val="中石化标题4，（4号黑体）"/>
    <w:next w:val="1"/>
    <w:qFormat/>
    <w:uiPriority w:val="0"/>
    <w:pPr>
      <w:spacing w:before="120" w:after="120"/>
      <w:jc w:val="center"/>
      <w:outlineLvl w:val="3"/>
    </w:pPr>
    <w:rPr>
      <w:rFonts w:ascii="Times New Roman" w:hAnsi="Times New Roman" w:eastAsia="黑体" w:cs="Times New Roman"/>
      <w:sz w:val="28"/>
      <w:lang w:val="en-US" w:eastAsia="zh-CN" w:bidi="ar-SA"/>
    </w:rPr>
  </w:style>
  <w:style w:type="paragraph" w:customStyle="1" w:styleId="53">
    <w:name w:val="中石化表图名"/>
    <w:qFormat/>
    <w:uiPriority w:val="0"/>
    <w:pPr>
      <w:jc w:val="center"/>
    </w:pPr>
    <w:rPr>
      <w:rFonts w:ascii="宋体" w:hAnsi="宋体" w:eastAsia="黑体" w:cs="Arial"/>
      <w:bCs/>
      <w:sz w:val="21"/>
      <w:szCs w:val="28"/>
      <w:lang w:val="en-US" w:eastAsia="zh-CN" w:bidi="ar-SA"/>
    </w:rPr>
  </w:style>
  <w:style w:type="paragraph" w:customStyle="1" w:styleId="54">
    <w:name w:val="表格样"/>
    <w:basedOn w:val="1"/>
    <w:qFormat/>
    <w:uiPriority w:val="0"/>
    <w:pPr>
      <w:widowControl/>
      <w:spacing w:line="240" w:lineRule="auto"/>
      <w:jc w:val="center"/>
      <w:textAlignment w:val="auto"/>
    </w:pPr>
    <w:rPr>
      <w:rFonts w:ascii="宋体" w:hAnsi="宋体"/>
      <w:sz w:val="24"/>
    </w:rPr>
  </w:style>
  <w:style w:type="paragraph" w:customStyle="1" w:styleId="55">
    <w:name w:val="中石化标题5（小4号黑体）"/>
    <w:next w:val="1"/>
    <w:qFormat/>
    <w:uiPriority w:val="0"/>
    <w:pPr>
      <w:widowControl w:val="0"/>
      <w:spacing w:before="60" w:after="60"/>
      <w:jc w:val="center"/>
      <w:outlineLvl w:val="4"/>
    </w:pPr>
    <w:rPr>
      <w:rFonts w:ascii="Times New Roman" w:hAnsi="Times New Roman" w:eastAsia="黑体" w:cs="Times New Roman"/>
      <w:sz w:val="24"/>
      <w:lang w:val="en-US" w:eastAsia="zh-CN" w:bidi="ar-SA"/>
    </w:rPr>
  </w:style>
  <w:style w:type="character" w:customStyle="1" w:styleId="56">
    <w:name w:val="重点强调"/>
    <w:qFormat/>
    <w:uiPriority w:val="0"/>
    <w:rPr>
      <w:b/>
      <w:caps/>
      <w:sz w:val="24"/>
    </w:rPr>
  </w:style>
  <w:style w:type="paragraph" w:customStyle="1" w:styleId="57">
    <w:name w:val="Char Char Char1 Char Char Char Char Char Char Char Char Char Char Char Char Char Char Char Char Char Char Char Char Char Char"/>
    <w:basedOn w:val="1"/>
    <w:qFormat/>
    <w:uiPriority w:val="0"/>
    <w:pPr>
      <w:adjustRightInd/>
      <w:spacing w:line="240" w:lineRule="auto"/>
      <w:textAlignment w:val="auto"/>
    </w:pPr>
    <w:rPr>
      <w:kern w:val="2"/>
      <w:szCs w:val="24"/>
    </w:rPr>
  </w:style>
  <w:style w:type="paragraph" w:customStyle="1" w:styleId="58">
    <w:name w:val="Char Char Char Char Char Char Char Char"/>
    <w:basedOn w:val="1"/>
    <w:semiHidden/>
    <w:qFormat/>
    <w:uiPriority w:val="0"/>
    <w:pPr>
      <w:adjustRightInd/>
      <w:spacing w:line="400" w:lineRule="exact"/>
      <w:textAlignment w:val="auto"/>
    </w:pPr>
    <w:rPr>
      <w:kern w:val="2"/>
      <w:sz w:val="24"/>
      <w:szCs w:val="24"/>
    </w:rPr>
  </w:style>
  <w:style w:type="paragraph" w:customStyle="1" w:styleId="59">
    <w:name w:val="mx正文首行缩进"/>
    <w:basedOn w:val="1"/>
    <w:qFormat/>
    <w:uiPriority w:val="0"/>
    <w:pPr>
      <w:wordWrap w:val="0"/>
      <w:adjustRightInd/>
      <w:spacing w:line="440" w:lineRule="exact"/>
      <w:ind w:firstLine="454"/>
      <w:textAlignment w:val="auto"/>
    </w:pPr>
    <w:rPr>
      <w:rFonts w:ascii="MyanbingST" w:hAnsi="MyanbingST"/>
      <w:kern w:val="2"/>
      <w:sz w:val="24"/>
      <w:szCs w:val="24"/>
    </w:rPr>
  </w:style>
  <w:style w:type="paragraph" w:customStyle="1" w:styleId="60">
    <w:name w:val="Char Char Char Char Char Char Char Char Char Char Char Char1 Char Char Char Char Char Char1 Char Char Char Char Char Char Char Char Char Char"/>
    <w:basedOn w:val="1"/>
    <w:qFormat/>
    <w:uiPriority w:val="0"/>
    <w:pPr>
      <w:widowControl/>
      <w:adjustRightInd/>
      <w:spacing w:line="240" w:lineRule="auto"/>
      <w:jc w:val="left"/>
      <w:textAlignment w:val="auto"/>
    </w:pPr>
    <w:rPr>
      <w:rFonts w:ascii="宋体" w:hAnsi="宋体" w:cs="宋体"/>
      <w:sz w:val="24"/>
      <w:szCs w:val="24"/>
    </w:rPr>
  </w:style>
  <w:style w:type="paragraph" w:customStyle="1" w:styleId="61">
    <w:name w:val="11 Char Char"/>
    <w:basedOn w:val="1"/>
    <w:link w:val="62"/>
    <w:qFormat/>
    <w:uiPriority w:val="0"/>
    <w:pPr>
      <w:adjustRightInd/>
      <w:spacing w:line="360" w:lineRule="auto"/>
      <w:ind w:firstLine="509" w:firstLineChars="212"/>
      <w:textAlignment w:val="auto"/>
    </w:pPr>
    <w:rPr>
      <w:rFonts w:ascii="宋体" w:hAnsi="宋体"/>
      <w:kern w:val="2"/>
      <w:sz w:val="24"/>
      <w:szCs w:val="24"/>
    </w:rPr>
  </w:style>
  <w:style w:type="character" w:customStyle="1" w:styleId="62">
    <w:name w:val="11 Char Char Char"/>
    <w:basedOn w:val="24"/>
    <w:link w:val="61"/>
    <w:qFormat/>
    <w:uiPriority w:val="0"/>
    <w:rPr>
      <w:rFonts w:ascii="宋体" w:hAnsi="宋体" w:eastAsia="宋体"/>
      <w:kern w:val="2"/>
      <w:sz w:val="24"/>
      <w:szCs w:val="24"/>
      <w:lang w:val="en-US" w:eastAsia="zh-CN" w:bidi="ar-SA"/>
    </w:rPr>
  </w:style>
  <w:style w:type="paragraph" w:customStyle="1" w:styleId="63">
    <w:name w:val="图形样式1"/>
    <w:basedOn w:val="1"/>
    <w:link w:val="64"/>
    <w:qFormat/>
    <w:uiPriority w:val="0"/>
    <w:pPr>
      <w:adjustRightInd/>
      <w:spacing w:line="240" w:lineRule="auto"/>
      <w:jc w:val="center"/>
      <w:textAlignment w:val="auto"/>
    </w:pPr>
    <w:rPr>
      <w:kern w:val="2"/>
      <w:szCs w:val="24"/>
    </w:rPr>
  </w:style>
  <w:style w:type="character" w:customStyle="1" w:styleId="64">
    <w:name w:val="图形样式1 Char"/>
    <w:basedOn w:val="24"/>
    <w:link w:val="63"/>
    <w:qFormat/>
    <w:uiPriority w:val="0"/>
    <w:rPr>
      <w:rFonts w:eastAsia="宋体"/>
      <w:kern w:val="2"/>
      <w:sz w:val="21"/>
      <w:szCs w:val="24"/>
      <w:lang w:val="en-US" w:eastAsia="zh-CN" w:bidi="ar-SA"/>
    </w:rPr>
  </w:style>
  <w:style w:type="paragraph" w:customStyle="1" w:styleId="65">
    <w:name w:val="表名、图名"/>
    <w:basedOn w:val="1"/>
    <w:link w:val="66"/>
    <w:qFormat/>
    <w:uiPriority w:val="0"/>
    <w:pPr>
      <w:tabs>
        <w:tab w:val="left" w:pos="0"/>
      </w:tabs>
      <w:adjustRightInd/>
      <w:snapToGrid w:val="0"/>
      <w:spacing w:line="400" w:lineRule="exact"/>
      <w:jc w:val="center"/>
      <w:textAlignment w:val="bottom"/>
    </w:pPr>
    <w:rPr>
      <w:rFonts w:ascii="黑体" w:hAnsi="宋体" w:eastAsia="黑体"/>
      <w:color w:val="000000"/>
      <w:kern w:val="2"/>
    </w:rPr>
  </w:style>
  <w:style w:type="character" w:customStyle="1" w:styleId="66">
    <w:name w:val="表名、图名 Char Char"/>
    <w:basedOn w:val="24"/>
    <w:link w:val="65"/>
    <w:qFormat/>
    <w:uiPriority w:val="0"/>
    <w:rPr>
      <w:rFonts w:ascii="黑体" w:hAnsi="宋体" w:eastAsia="黑体"/>
      <w:color w:val="000000"/>
      <w:kern w:val="2"/>
      <w:sz w:val="21"/>
      <w:lang w:val="en-US" w:eastAsia="zh-CN" w:bidi="ar-SA"/>
    </w:rPr>
  </w:style>
  <w:style w:type="paragraph" w:customStyle="1" w:styleId="67">
    <w:name w:val="1。1。1   格式"/>
    <w:basedOn w:val="5"/>
    <w:qFormat/>
    <w:uiPriority w:val="0"/>
    <w:pPr>
      <w:adjustRightInd/>
      <w:spacing w:before="60" w:after="60" w:line="400" w:lineRule="exact"/>
      <w:textAlignment w:val="auto"/>
      <w:outlineLvl w:val="2"/>
    </w:pPr>
    <w:rPr>
      <w:rFonts w:ascii="黑体" w:hAnsi="宋体"/>
      <w:b w:val="0"/>
      <w:kern w:val="2"/>
      <w:sz w:val="24"/>
    </w:rPr>
  </w:style>
  <w:style w:type="paragraph" w:customStyle="1" w:styleId="68">
    <w:name w:val="样式 样式 宋体 小四 左 行距: 最小值 20 磅 + 首行缩进:  2 字符"/>
    <w:basedOn w:val="1"/>
    <w:qFormat/>
    <w:uiPriority w:val="0"/>
    <w:pPr>
      <w:adjustRightInd/>
      <w:spacing w:line="400" w:lineRule="exact"/>
      <w:ind w:firstLine="200" w:firstLineChars="200"/>
      <w:jc w:val="left"/>
      <w:textAlignment w:val="auto"/>
    </w:pPr>
    <w:rPr>
      <w:rFonts w:ascii="宋体" w:hAnsi="宋体" w:cs="宋体"/>
      <w:kern w:val="2"/>
      <w:sz w:val="24"/>
    </w:rPr>
  </w:style>
  <w:style w:type="character" w:customStyle="1" w:styleId="69">
    <w:name w:val="文档结构图 字符"/>
    <w:basedOn w:val="24"/>
    <w:link w:val="8"/>
    <w:qFormat/>
    <w:uiPriority w:val="0"/>
    <w:rPr>
      <w:rFonts w:ascii="宋体"/>
      <w:sz w:val="18"/>
      <w:szCs w:val="18"/>
    </w:rPr>
  </w:style>
  <w:style w:type="paragraph" w:customStyle="1" w:styleId="70">
    <w:name w:val="Normal_31"/>
    <w:qFormat/>
    <w:uiPriority w:val="0"/>
    <w:pPr>
      <w:spacing w:before="120" w:after="240"/>
      <w:jc w:val="both"/>
    </w:pPr>
    <w:rPr>
      <w:rFonts w:ascii="Calibri" w:hAnsi="Calibri" w:eastAsia="Calibri" w:cs="Times New Roman"/>
      <w:sz w:val="22"/>
      <w:szCs w:val="22"/>
      <w:lang w:val="ru-RU" w:eastAsia="en-US" w:bidi="ar-SA"/>
    </w:rPr>
  </w:style>
  <w:style w:type="paragraph" w:styleId="71">
    <w:name w:val="List Paragraph"/>
    <w:basedOn w:val="1"/>
    <w:qFormat/>
    <w:uiPriority w:val="34"/>
    <w:pPr>
      <w:ind w:firstLine="420"/>
    </w:pPr>
    <w:rPr>
      <w:rFonts w:ascii="Calibri" w:hAnsi="Calibri"/>
      <w:szCs w:val="22"/>
    </w:rPr>
  </w:style>
  <w:style w:type="paragraph" w:customStyle="1" w:styleId="72">
    <w:name w:val="修订1"/>
    <w:hidden/>
    <w:unhideWhenUsed/>
    <w:qFormat/>
    <w:uiPriority w:val="99"/>
    <w:rPr>
      <w:rFonts w:ascii="Times New Roman" w:hAnsi="Times New Roman" w:eastAsia="宋体" w:cs="Times New Roman"/>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1.xml"/><Relationship Id="rId3" Type="http://schemas.openxmlformats.org/officeDocument/2006/relationships/footnotes" Target="footnotes.xml"/><Relationship Id="rId7" Type="http://schemas.openxmlformats.org/officeDocument/2006/relationships/header" Target="header3.xml"/><Relationship Id="rId12" Type="http://schemas.openxmlformats.org/officeDocument/2006/relationships/numbering" Target="numbering.xml"/><Relationship Id="rId17" Type="http://schemas.openxmlformats.org/officeDocument/2006/relationships/customXml" Target="../customXml/item4.xml"/><Relationship Id="rId2" Type="http://schemas.openxmlformats.org/officeDocument/2006/relationships/settings" Target="settings.xml"/><Relationship Id="rId16" Type="http://schemas.openxmlformats.org/officeDocument/2006/relationships/customXml" Target="../customXml/item3.xml"/><Relationship Id="rId6" Type="http://schemas.openxmlformats.org/officeDocument/2006/relationships/header" Target="header2.xml"/><Relationship Id="rId11" Type="http://schemas.openxmlformats.org/officeDocument/2006/relationships/theme" Target="theme/theme1.xml"/><Relationship Id="rId1" Type="http://schemas.openxmlformats.org/officeDocument/2006/relationships/styles" Target="styles.xml"/><Relationship Id="rId5" Type="http://schemas.openxmlformats.org/officeDocument/2006/relationships/header" Target="header1.xml"/><Relationship Id="rId15" Type="http://schemas.openxmlformats.org/officeDocument/2006/relationships/customXml" Target="../customXml/item2.xml"/><Relationship Id="rId10" Type="http://schemas.openxmlformats.org/officeDocument/2006/relationships/footer" Target="footer3.xml"/><Relationship Id="rId9" Type="http://schemas.openxmlformats.org/officeDocument/2006/relationships/footer" Target="footer2.xml"/><Relationship Id="rId4"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文档" ma:contentTypeID="0x01010080340F6F440D0B4EA5026FFDB8FFDB55" ma:contentTypeVersion="1" ma:contentTypeDescription="新建文档。" ma:contentTypeScope="" ma:versionID="4a62dab36835a9c2438dfec9989dc14c">
  <xsd:schema xmlns:xsd="http://www.w3.org/2001/XMLSchema" xmlns:xs="http://www.w3.org/2001/XMLSchema" xmlns:p="http://schemas.microsoft.com/office/2006/metadata/properties" xmlns:ns1="http://schemas.microsoft.com/sharepoint/v3" targetNamespace="http://schemas.microsoft.com/office/2006/metadata/properties" ma:root="true" ma:fieldsID="5107b0345c29e57748057d300629ffc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计划开始日期" ma:description="“计划开始日期”是由“发布”功能创建的网站栏。它用于指定第一次向网站访问者显示此页面的日期和时间。" ma:hidden="true" ma:internalName="PublishingStartDate">
      <xsd:simpleType>
        <xsd:restriction base="dms:Unknown"/>
      </xsd:simpleType>
    </xsd:element>
    <xsd:element name="PublishingExpirationDate" ma:index="9" nillable="true" ma:displayName="计划结束日期" ma:description="“计划结束日期”是由“发布”功能创建的网站栏。它用于指定不再向网站访问者显示此页面的日期和时间。"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E5FE9DB-B4BF-429D-A0D6-7B254E439881}"/>
</file>

<file path=customXml/itemProps2.xml><?xml version="1.0" encoding="utf-8"?>
<ds:datastoreItem xmlns:ds="http://schemas.openxmlformats.org/officeDocument/2006/customXml" ds:itemID="{3C85A27E-7EA3-4143-AEBC-B3846FA1477B}"/>
</file>

<file path=customXml/itemProps3.xml><?xml version="1.0" encoding="utf-8"?>
<ds:datastoreItem xmlns:ds="http://schemas.openxmlformats.org/officeDocument/2006/customXml" ds:itemID="{2275E593-21BA-4899-BA14-AEA2E07EC2B5}"/>
</file>

<file path=customXml/itemProps4.xml><?xml version="1.0" encoding="utf-8"?>
<ds:datastoreItem xmlns:ds="http://schemas.openxmlformats.org/officeDocument/2006/customXml" ds:itemID="{7C04BA06-0D07-4AC9-BAAC-4F22923C6EBE}"/>
</file>

<file path=docProps/app.xml><?xml version="1.0" encoding="utf-8"?>
<Properties xmlns="http://schemas.openxmlformats.org/officeDocument/2006/extended-properties" xmlns:vt="http://schemas.openxmlformats.org/officeDocument/2006/docPropsVTypes">
  <Template>Normal.dotm</Template>
  <Company>Microsoft</Company>
  <Pages>15</Pages>
  <Words>1307</Words>
  <Characters>7451</Characters>
  <Lines>62</Lines>
  <Paragraphs>17</Paragraphs>
  <TotalTime>176</TotalTime>
  <ScaleCrop>false</ScaleCrop>
  <LinksUpToDate>false</LinksUpToDate>
  <CharactersWithSpaces>8741</CharactersWithSpaces>
  <Application>WPS Office_11.8.0.16970_F1E327BC-269C-435d-A152-05C5408002CA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孙进华</dc:creator>
  <cp:lastModifiedBy>allen</cp:lastModifiedBy>
  <cp:revision>29</cp:revision>
  <cp:lastPrinted>2022-07-29T02:24:00Z</cp:lastPrinted>
  <dcterms:created xsi:type="dcterms:W3CDTF">2023-06-04T07:39:00Z</dcterms:created>
  <dcterms:modified xsi:type="dcterms:W3CDTF">2024-08-16T06:43:24Z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2052-11.8.0.16970</vt:lpwstr>
  </property>
  <property fmtid="{D5CDD505-2E9C-101B-9397-08002B2CF9AE}" pid="3" name="ICV">
    <vt:lpwstr>C95C31B5C9BC4C918E64A348750C0B98</vt:lpwstr>
  </property>
  <property fmtid="{D5CDD505-2E9C-101B-9397-08002B2CF9AE}" pid="4" name="ContentTypeId">
    <vt:lpwstr>0x01010080340F6F440D0B4EA5026FFDB8FFDB55</vt:lpwstr>
  </property>
</Properties>
</file>